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352EA5" w:rsidP="0A3F03D6" w:rsidRDefault="0041212B" w14:paraId="696C31C6" w14:textId="26C84299">
      <w:pPr>
        <w:spacing w:before="600" w:after="80"/>
        <w:jc w:val="center"/>
        <w:rPr>
          <w:rFonts w:ascii="Calibri" w:hAnsi="Calibri" w:eastAsia="Calibri" w:cs="Calibri"/>
          <w:b w:val="0"/>
          <w:bCs w:val="0"/>
          <w:i w:val="0"/>
          <w:iCs w:val="0"/>
          <w:caps w:val="0"/>
          <w:smallCaps w:val="0"/>
          <w:noProof w:val="0"/>
          <w:color w:val="000000" w:themeColor="text1" w:themeTint="FF" w:themeShade="FF"/>
          <w:sz w:val="32"/>
          <w:szCs w:val="32"/>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32"/>
          <w:szCs w:val="32"/>
          <w:lang w:val="pl"/>
        </w:rPr>
        <w:t xml:space="preserve">Regulamin Programu Inkubacyjnego FORT Kraków: </w:t>
      </w:r>
    </w:p>
    <w:p w:rsidR="00352EA5" w:rsidP="0A3F03D6" w:rsidRDefault="0041212B" w14:paraId="7E5F842B" w14:textId="4689F738">
      <w:pPr>
        <w:spacing w:before="240" w:after="80"/>
        <w:jc w:val="center"/>
        <w:rPr>
          <w:rFonts w:ascii="Calibri" w:hAnsi="Calibri" w:eastAsia="Calibri" w:cs="Calibri"/>
          <w:b w:val="0"/>
          <w:bCs w:val="0"/>
          <w:i w:val="0"/>
          <w:iCs w:val="0"/>
          <w:caps w:val="0"/>
          <w:smallCaps w:val="0"/>
          <w:noProof w:val="0"/>
          <w:color w:val="000000" w:themeColor="text1" w:themeTint="FF" w:themeShade="FF"/>
          <w:sz w:val="32"/>
          <w:szCs w:val="32"/>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32"/>
          <w:szCs w:val="32"/>
          <w:lang w:val="pl"/>
        </w:rPr>
        <w:t xml:space="preserve">FORT Defence &amp; Dual-Use Incubator </w:t>
      </w:r>
    </w:p>
    <w:p w:rsidR="00352EA5" w:rsidP="0A3F03D6" w:rsidRDefault="0041212B" w14:paraId="6AB335C8" w14:textId="4C1BACAB">
      <w:pPr>
        <w:spacing w:before="240" w:after="80"/>
        <w:jc w:val="center"/>
        <w:rPr>
          <w:rFonts w:ascii="Calibri" w:hAnsi="Calibri" w:eastAsia="Calibri" w:cs="Calibri"/>
          <w:b w:val="0"/>
          <w:bCs w:val="0"/>
          <w:i w:val="0"/>
          <w:iCs w:val="0"/>
          <w:caps w:val="0"/>
          <w:smallCaps w:val="0"/>
          <w:noProof w:val="0"/>
          <w:color w:val="000000" w:themeColor="text1" w:themeTint="FF" w:themeShade="FF"/>
          <w:sz w:val="32"/>
          <w:szCs w:val="32"/>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32"/>
          <w:szCs w:val="32"/>
          <w:lang w:val="pl"/>
        </w:rPr>
        <w:t>(dalej: Regulamin)</w:t>
      </w:r>
    </w:p>
    <w:p w:rsidR="00352EA5" w:rsidP="0A3F03D6" w:rsidRDefault="0041212B" w14:paraId="73B12E7D" w14:textId="7A28BE1C">
      <w:pPr>
        <w:spacing w:before="240" w:after="80"/>
        <w:jc w:val="center"/>
        <w:rPr>
          <w:rFonts w:ascii="Calibri" w:hAnsi="Calibri" w:eastAsia="Calibri" w:cs="Calibri"/>
          <w:b w:val="0"/>
          <w:bCs w:val="0"/>
          <w:i w:val="0"/>
          <w:iCs w:val="0"/>
          <w:caps w:val="0"/>
          <w:smallCaps w:val="0"/>
          <w:noProof w:val="0"/>
          <w:color w:val="000000" w:themeColor="text1" w:themeTint="FF" w:themeShade="FF"/>
          <w:sz w:val="22"/>
          <w:szCs w:val="22"/>
          <w:lang w:val="pl"/>
        </w:rPr>
      </w:pPr>
    </w:p>
    <w:p w:rsidR="00352EA5" w:rsidP="6D743D22" w:rsidRDefault="0041212B" w14:paraId="2102EC08" w14:textId="0FF90253">
      <w:pPr>
        <w:spacing w:before="0" w:beforeAutospacing="off" w:after="0" w:afterAutospacing="off"/>
        <w:jc w:val="both"/>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Zadanie pn. „FORT Kraków Polski Akcelerator DIANA” jest dofinansowane ze środków budżetu państwa w ramach Programu Ministra Finansów i Gospodarki na lata 2025-2029 pn. „Wsparcie kompetencji w obszarze innowacji dual-use”, dotyczącego wyłonienia operatora Programu akceleracyjnego DUET - Dual-Use Emerging Technologies.</w:t>
      </w:r>
    </w:p>
    <w:p w:rsidR="6D743D22" w:rsidP="6D743D22" w:rsidRDefault="6D743D22" w14:paraId="15196587" w14:textId="3730D1BE">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p>
    <w:p w:rsidR="00352EA5" w:rsidP="6D743D22" w:rsidRDefault="0041212B" w14:paraId="5FB332C7" w14:textId="03535ECC">
      <w:p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Program realizowany jest w ramach konsorcjum Akademii Górniczo-Hutniczej im. Stanisława Staszica w Krakowie oraz Krakowskiego Parku Technologicznego sp. z o.o. Organizatorem Programu i stroną Umów Inkubacyjnych jest Akademia Górniczo-Hutnicza im. Stanisława Staszica w Krakowie.</w:t>
      </w:r>
    </w:p>
    <w:p w:rsidR="00352EA5" w:rsidP="0A3F03D6" w:rsidRDefault="0041212B" w14:paraId="4AF0F8D2" w14:textId="17FF8D58">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1. Cel Programu</w:t>
      </w:r>
    </w:p>
    <w:p w:rsidR="00352EA5" w:rsidP="6D743D22" w:rsidRDefault="0041212B" w14:paraId="4BC8FBD4" w14:textId="209220D9">
      <w:pPr>
        <w:pStyle w:val="ListParagraph"/>
        <w:numPr>
          <w:ilvl w:val="0"/>
          <w:numId w:val="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Niniejszy Regulamin określa zasady naboru i udziału w programie inkubacyjnym FORT Defence &amp; Dual-Use Incubator, zwanym dalej „Programem”.</w:t>
      </w:r>
    </w:p>
    <w:p w:rsidR="00352EA5" w:rsidP="6D743D22" w:rsidRDefault="0041212B" w14:paraId="25D9E7A1" w14:textId="4E9E5927">
      <w:pPr>
        <w:pStyle w:val="ListParagraph"/>
        <w:numPr>
          <w:ilvl w:val="0"/>
          <w:numId w:val="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Celem Programu jest wsparcie osób fizycznych, zespołów osób fizycznych rozwijających pomysł, projekt lub rozwiązanie technologiczne z potencjałem zastosowania w obszarze defence, dual-use, bezpieczeństwa lub odporności państwa.</w:t>
      </w:r>
    </w:p>
    <w:p w:rsidR="00352EA5" w:rsidP="6D743D22" w:rsidRDefault="0041212B" w14:paraId="5CABDFCD" w14:textId="645DF5EA">
      <w:pPr>
        <w:pStyle w:val="ListParagraph"/>
        <w:numPr>
          <w:ilvl w:val="0"/>
          <w:numId w:val="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Program ma charakter edukacyjny, rozwojowy, inkubacyjny i kompetencyjny. Nie stanowi programu finansowania ani konkursu grantowego i nie gwarantuje pozyskania inwestora, klienta, zamówienia, pilotażu lub wdrożenia.</w:t>
      </w:r>
    </w:p>
    <w:p w:rsidR="00352EA5" w:rsidP="6D743D22" w:rsidRDefault="0041212B" w14:paraId="68133EA5" w14:textId="67B4F8FF">
      <w:pPr>
        <w:pStyle w:val="ListParagraph"/>
        <w:numPr>
          <w:ilvl w:val="0"/>
          <w:numId w:val="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Udział w Programie jest bezpłatny, a liczba miejsc jest ograniczona. Złożenie Aplikacji nie jest równoznaczne </w:t>
      </w:r>
      <w:r>
        <w:br/>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 zakwalifikowaniem do Programu.</w:t>
      </w:r>
    </w:p>
    <w:p w:rsidR="00352EA5" w:rsidP="0A3F03D6" w:rsidRDefault="0041212B" w14:paraId="44256533" w14:textId="16B3C0C0">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2. Definicje</w:t>
      </w:r>
    </w:p>
    <w:p w:rsidR="00352EA5" w:rsidP="6D743D22" w:rsidRDefault="0041212B" w14:paraId="54BDAD59" w14:textId="7BA246FB">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Inkubator - FORT Defence &amp; Dual-Use Incubator, prowadzony przez Akademię Górniczo-Hutniczą im. Stanisława Staszica w Krakowie jako konsorcjanta w zadaniu pn. „FORT Kraków Polski Akcelerator DIANA”.</w:t>
      </w:r>
    </w:p>
    <w:p w:rsidR="00352EA5" w:rsidP="6D743D22" w:rsidRDefault="0041212B" w14:paraId="7A2CB56D" w14:textId="12E90031">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Program - program inkubacyjny FORT Defence &amp; Dual-Use Incubator, którego celem jest wsparcie rozwoju pomysłów i projektów technologicznych na wczesnym etapie.</w:t>
      </w:r>
    </w:p>
    <w:p w:rsidR="00352EA5" w:rsidP="6D743D22" w:rsidRDefault="0041212B" w14:paraId="0732E78D" w14:textId="42CE161F">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Osoba fizyczna - osoba pełnoletnia, posiadająca pełną zdolność do czynności prawnych, zgłaszająca do Programu własny Projekt i uczestnicząca w Programie we własnym imieniu, nieprowadząca działalności gospodarczej.</w:t>
      </w:r>
    </w:p>
    <w:p w:rsidR="00352EA5" w:rsidP="6D743D22" w:rsidRDefault="0041212B" w14:paraId="6ADFE417" w14:textId="26B4D106">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Zespół osób fizycznych - grupa osób fizycznych wspólnie rozwijających Projekt, nie w ramach zarejestrowanej działalności gospodarczej lub spółki. Zespół wskazuje osobę do kontaktu; w działaniach Programu mogą jednocześnie uczestniczyć maksymalnie 2 osoby reprezentujące Zespół, chyba że Inkubator postanowi inaczej.</w:t>
      </w:r>
    </w:p>
    <w:p w:rsidR="00352EA5" w:rsidP="6D743D22" w:rsidRDefault="0041212B" w14:paraId="79C85903" w14:textId="6E8750DA">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Aplikacja - formularz zgłoszeniowy złożony przez osobę fizyczną, Zespół osób fizycznych w procesie naboru.</w:t>
      </w:r>
    </w:p>
    <w:p w:rsidR="00352EA5" w:rsidP="6D743D22" w:rsidRDefault="0041212B" w14:paraId="64E43CDF" w14:textId="39CA0279">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Aplikujący - osoba fizyczna, Zespół osób fizycznych, który złożył Aplikację i ubiega się o udział w Programie.</w:t>
      </w:r>
    </w:p>
    <w:p w:rsidR="00352EA5" w:rsidP="6D743D22" w:rsidRDefault="0041212B" w14:paraId="48F1FC61" w14:textId="0820DE17">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Uczestnik - Aplikujący zakwalifikowany do Programu, który spełnił warunki przystąpienia do Programu określone przez Inkubator.</w:t>
      </w:r>
    </w:p>
    <w:p w:rsidR="00352EA5" w:rsidP="6D743D22" w:rsidRDefault="0041212B" w14:paraId="680B51C6" w14:textId="636116B4">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Projekt - pomysł, koncepcja, prototyp, technologia, usługa, wynik prac badawczych albo rozwiązanie produktowe, procesowe lub organizacyjne zgłoszone i rozwijane w ramach Programu.</w:t>
      </w:r>
    </w:p>
    <w:p w:rsidR="00352EA5" w:rsidP="6D743D22" w:rsidRDefault="0041212B" w14:paraId="024916FC" w14:textId="671AAA74">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Mentorzy i prowadzący warsztaty - osoby posiadające wiedzę ekspercką lub doświadczenie zawodowe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obszarach objętych Programem, współpracujące z Inkubatorem.</w:t>
      </w:r>
    </w:p>
    <w:p w:rsidR="00352EA5" w:rsidP="6D743D22" w:rsidRDefault="0041212B" w14:paraId="1B618BCA" w14:textId="6C455A88">
      <w:pPr>
        <w:pStyle w:val="ListParagraph"/>
        <w:numPr>
          <w:ilvl w:val="0"/>
          <w:numId w:val="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Umowa Inkubacyjna - umowa lub inny dokument określający zasady udziału Uczestnika w Programie zawierana według wzoru stanowiącego Załącznik nr 3 do Regulaminu.</w:t>
      </w:r>
    </w:p>
    <w:p w:rsidR="00352EA5" w:rsidP="0A3F03D6" w:rsidRDefault="0041212B" w14:paraId="7B31AE6E" w14:textId="5A61F103">
      <w:pPr>
        <w:spacing w:before="240"/>
        <w:jc w:val="both"/>
        <w:rPr>
          <w:rFonts w:ascii="Calibri" w:hAnsi="Calibri" w:eastAsia="Calibri" w:cs="Calibri"/>
          <w:b w:val="0"/>
          <w:bCs w:val="0"/>
          <w:i w:val="0"/>
          <w:iCs w:val="0"/>
          <w:caps w:val="0"/>
          <w:smallCaps w:val="0"/>
          <w:noProof w:val="0"/>
          <w:color w:val="000000" w:themeColor="text1" w:themeTint="FF" w:themeShade="FF"/>
          <w:sz w:val="21"/>
          <w:szCs w:val="21"/>
          <w:lang w:val="pl"/>
        </w:rPr>
      </w:pPr>
    </w:p>
    <w:p w:rsidR="00352EA5" w:rsidP="0A3F03D6" w:rsidRDefault="0041212B" w14:paraId="31AA2F15" w14:textId="33B19AC7">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3. Uczestnicy i warunki udziału</w:t>
      </w:r>
    </w:p>
    <w:p w:rsidR="00352EA5" w:rsidP="6D743D22" w:rsidRDefault="0041212B" w14:paraId="36ABEB53" w14:textId="1D8CEF75">
      <w:pPr>
        <w:pStyle w:val="ListParagraph"/>
        <w:numPr>
          <w:ilvl w:val="0"/>
          <w:numId w:val="9"/>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Do Programu mogą aplikować osoby fizyczne, zespoły osób fizycznych rozwijające Projekt z potencjałem zastosowania w obszarze defence, dual-use, bezpieczeństwa lub odporności państwa.</w:t>
      </w:r>
    </w:p>
    <w:p w:rsidR="00352EA5" w:rsidP="6D743D22" w:rsidRDefault="0041212B" w14:paraId="09B502FC" w14:textId="1E676BC7">
      <w:pPr>
        <w:pStyle w:val="ListParagraph"/>
        <w:numPr>
          <w:ilvl w:val="0"/>
          <w:numId w:val="9"/>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szczególności do Programu mogą zgłaszać się studenci, doktoranci, pracownicy naukowi, inżynierowie, specjaliści oraz inne osoby rozwijające Projekt indywidualnie lub zespołowo.</w:t>
      </w:r>
    </w:p>
    <w:p w:rsidR="00352EA5" w:rsidP="6D743D22" w:rsidRDefault="0041212B" w14:paraId="7E55838F" w14:textId="3A9767F9">
      <w:pPr>
        <w:pStyle w:val="ListParagraph"/>
        <w:numPr>
          <w:ilvl w:val="0"/>
          <w:numId w:val="9"/>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Nie jest wymagane posiadanie gotowego produktu, prototypu, MVP, przychodów ani finansowania zewnętrznego. Program może obejmować również koncepcje na bardzo wczesnym etapie rozwoju.</w:t>
      </w:r>
    </w:p>
    <w:p w:rsidR="00352EA5" w:rsidP="6D743D22" w:rsidRDefault="0041212B" w14:paraId="1C001494" w14:textId="6994B519">
      <w:pPr>
        <w:pStyle w:val="ListParagraph"/>
        <w:numPr>
          <w:ilvl w:val="0"/>
          <w:numId w:val="9"/>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Aplikujący powinien posiadać uprawnienie do zgłoszenia Projektu lub zgodę osób albo podmiotów uprawnionych, jeżeli Projekt jest rozwijany wspólnie z innymi osobami  uczelni albo instytucji badawczej.</w:t>
      </w:r>
    </w:p>
    <w:p w:rsidR="00352EA5" w:rsidP="6D743D22" w:rsidRDefault="0041212B" w14:paraId="498BB5A8" w14:textId="39792FA9">
      <w:pPr>
        <w:pStyle w:val="ListParagraph"/>
        <w:numPr>
          <w:ilvl w:val="0"/>
          <w:numId w:val="9"/>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Warunkiem zakwalifikowania do udziału w Programie jest złożenie kompletnej Aplikacji, spełnienie kryteriów formalnych, zgodność Projektu z celami Programu, uzyskanie co najmniej minimalnej liczby punktów określonej dla oceny merytorycznej, akceptacja Regulaminu oraz zadeklarowanie gotowości do aktywnego udziału w warsztatach, mentoringu i pracy nad Projektem.</w:t>
      </w:r>
    </w:p>
    <w:p w:rsidR="00352EA5" w:rsidP="6D743D22" w:rsidRDefault="0041212B" w14:paraId="2392244E" w14:textId="5A62694A">
      <w:pPr>
        <w:pStyle w:val="ListParagraph"/>
        <w:numPr>
          <w:ilvl w:val="0"/>
          <w:numId w:val="9"/>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 udziału w Programie wyłączone są osoby: 1) wpisane na listę, o której mowa w art. 2 ustawy z dnia 13 kwietnia 2022 r. o szczególnych rozwiązaniach w zakresie przeciwdziałania wspieraniu agresji na Ukrainę oraz służących ochr</w:t>
      </w:r>
      <w:r w:rsidRPr="6D743D22" w:rsidR="451AEEF0">
        <w:rPr>
          <w:rFonts w:ascii="Calibri" w:hAnsi="Calibri" w:eastAsia="Calibri" w:cs="Calibri"/>
          <w:b w:val="0"/>
          <w:bCs w:val="0"/>
          <w:i w:val="0"/>
          <w:iCs w:val="0"/>
          <w:caps w:val="0"/>
          <w:smallCaps w:val="0"/>
          <w:noProof w:val="0"/>
          <w:color w:val="000000" w:themeColor="text1" w:themeTint="FF" w:themeShade="FF"/>
          <w:sz w:val="21"/>
          <w:szCs w:val="21"/>
          <w:lang w:val="pl"/>
        </w:rPr>
        <w:t>o</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nie bezpieczeństwa narodowego, lub wobec których zastosowano środki ograniczające na podstawie rozporządzeń Rady (WE) nr 765/2006, (UE) nr 269/2014 lub (UE) nr 833/2014; 2) objęte zakazem, o którym mowa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art. 5l rozporządzenia Rady (UE) nr 833/2014.</w:t>
      </w:r>
    </w:p>
    <w:p w:rsidR="00352EA5" w:rsidP="6D743D22" w:rsidRDefault="0041212B" w14:paraId="02A44B72" w14:textId="706846F7">
      <w:pPr>
        <w:pStyle w:val="ListParagraph"/>
        <w:numPr>
          <w:ilvl w:val="0"/>
          <w:numId w:val="9"/>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Z udziału w Programie wyłączone są osoby prowadzące działalność gospodarczą oraz Projekty rozwijane w ramach lub na rzecz przedsiębiorcy, w szczególności spółki, w której Aplikujący lub członek Zespołu jest wspólnikiem, akcjonariuszem lub członkiem organu. </w:t>
      </w:r>
    </w:p>
    <w:p w:rsidR="00352EA5" w:rsidP="6D743D22" w:rsidRDefault="0041212B" w14:paraId="54FBD980" w14:textId="78B40CBF">
      <w:pPr>
        <w:pStyle w:val="ListParagraph"/>
        <w:numPr>
          <w:ilvl w:val="0"/>
          <w:numId w:val="9"/>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Uczestnik niezwłocznie informuje Inkubator o rozpoczęciu działalności gospodarczej lub utworzeniu albo przystąpieniu do spółki w celu rozwijania Projektu w okresie udziału w Programie. W takim przypadku udział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Programie ustaje, a Umowa Inkubacyjna ulega rozwiązaniu z dniem poprzedzającym rozpoczęcie tej działalności.</w:t>
      </w:r>
    </w:p>
    <w:p w:rsidR="00352EA5" w:rsidP="0A3F03D6" w:rsidRDefault="0041212B" w14:paraId="6E66507E" w14:textId="67878A87">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4. Zakres Programu</w:t>
      </w:r>
    </w:p>
    <w:p w:rsidR="00352EA5" w:rsidP="6D743D22" w:rsidRDefault="0041212B" w14:paraId="31E8120E" w14:textId="511A0AE5">
      <w:pPr>
        <w:pStyle w:val="ListParagraph"/>
        <w:numPr>
          <w:ilvl w:val="0"/>
          <w:numId w:val="10"/>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Program obejmuje w szczególności warsztaty, konsultacje, mentoring, spotkania z ekspertami, pracę nad Projektem oraz przygotowanie prezentacji Projektu.</w:t>
      </w:r>
    </w:p>
    <w:p w:rsidR="00352EA5" w:rsidP="6D743D22" w:rsidRDefault="0041212B" w14:paraId="193A3A87" w14:textId="6941C106">
      <w:pPr>
        <w:pStyle w:val="ListParagraph"/>
        <w:numPr>
          <w:ilvl w:val="0"/>
          <w:numId w:val="10"/>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Zakres wsparcia może dotyczyć m.in. ekosystemu defence i dual-use, potrzeb użytkownika końcowego, walidacji problemu, rozwoju produktu, modelu działania, komercjalizacji, finansowania, prawa, własności intelektualnej, bezpieczeństwa informacji, komunikacji, pitchingu oraz wykorzystania narzędzi AI.</w:t>
      </w:r>
    </w:p>
    <w:p w:rsidR="00352EA5" w:rsidP="6D743D22" w:rsidRDefault="0041212B" w14:paraId="0DFAB33D" w14:textId="3979DEC6">
      <w:pPr>
        <w:pStyle w:val="ListParagraph"/>
        <w:numPr>
          <w:ilvl w:val="0"/>
          <w:numId w:val="10"/>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Część zajęć będzie realizowana wspólnie z uczestnikami programu Trzecia Linia w celu wymiany doświadczeń między innowatorami a osobami posiadającymi praktyczne doświadczenie wojskowe.</w:t>
      </w:r>
    </w:p>
    <w:p w:rsidR="00352EA5" w:rsidP="6D743D22" w:rsidRDefault="0041212B" w14:paraId="5AA82933" w14:textId="444EF47C">
      <w:pPr>
        <w:pStyle w:val="ListParagraph"/>
        <w:numPr>
          <w:ilvl w:val="0"/>
          <w:numId w:val="10"/>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Inkubator może zmienić harmonogram, zakres lub formę Programu, jeżeli jest to uzasadnione organizacyjnie lub merytorycznie.</w:t>
      </w:r>
    </w:p>
    <w:p w:rsidR="00352EA5" w:rsidP="6D743D22" w:rsidRDefault="0041212B" w14:paraId="09149E9F" w14:textId="09A9900B">
      <w:pPr>
        <w:pStyle w:val="ListParagraph"/>
        <w:numPr>
          <w:ilvl w:val="0"/>
          <w:numId w:val="10"/>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Program jest realizowany w ramach zadania pn. „FORT Kraków Polski Akcelerator DIANA”, które jest dofinansowane ze środków budżetu państwa w ramach Programu Ministra Finansów i Gospodarki na lata 2025–2029 pn. „Wsparcie kompetencji w obszarze innowacji dual-use”, dotyczącego wyłonienia operatora Programu akceleracyjnego DUET – Dual-Use Emerging Technologies.</w:t>
      </w:r>
    </w:p>
    <w:p w:rsidR="00352EA5" w:rsidP="0A3F03D6" w:rsidRDefault="0041212B" w14:paraId="26FDF060" w14:textId="7540FF36">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5. Nabór, ocena i kwalifikacja</w:t>
      </w:r>
    </w:p>
    <w:p w:rsidR="00352EA5" w:rsidP="6D743D22" w:rsidRDefault="0041212B" w14:paraId="7FE828C2" w14:textId="58596B85">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Nabór prowadzony jest w terminie od </w:t>
      </w:r>
      <w:r w:rsidRPr="6D743D22" w:rsidR="17A45397">
        <w:rPr>
          <w:rFonts w:ascii="Calibri" w:hAnsi="Calibri" w:eastAsia="Calibri" w:cs="Calibri"/>
          <w:b w:val="0"/>
          <w:bCs w:val="0"/>
          <w:i w:val="0"/>
          <w:iCs w:val="0"/>
          <w:caps w:val="0"/>
          <w:smallCaps w:val="0"/>
          <w:noProof w:val="0"/>
          <w:color w:val="000000" w:themeColor="text1" w:themeTint="FF" w:themeShade="FF"/>
          <w:sz w:val="21"/>
          <w:szCs w:val="21"/>
          <w:lang w:val="pl"/>
        </w:rPr>
        <w:t>5.10</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.2026 do </w:t>
      </w:r>
      <w:r w:rsidRPr="6D743D22" w:rsidR="07AF44C7">
        <w:rPr>
          <w:rFonts w:ascii="Calibri" w:hAnsi="Calibri" w:eastAsia="Calibri" w:cs="Calibri"/>
          <w:b w:val="0"/>
          <w:bCs w:val="0"/>
          <w:i w:val="0"/>
          <w:iCs w:val="0"/>
          <w:caps w:val="0"/>
          <w:smallCaps w:val="0"/>
          <w:noProof w:val="0"/>
          <w:color w:val="000000" w:themeColor="text1" w:themeTint="FF" w:themeShade="FF"/>
          <w:sz w:val="21"/>
          <w:szCs w:val="21"/>
          <w:lang w:val="pl"/>
        </w:rPr>
        <w:t>25</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.10.2026 do godziny 23.59. Inkubator może przedłużyć termin naboru, uruchomić nabór uzupełniający albo zakończyć nabór bez wyłonienia Uczestników.</w:t>
      </w:r>
    </w:p>
    <w:p w:rsidR="00352EA5" w:rsidP="6D743D22" w:rsidRDefault="0041212B" w14:paraId="15B82012" w14:textId="0EED2BBB">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Aplikacje składane są elektronicznie za pośrednictwem formularza udostępnionego na stronie </w:t>
      </w:r>
      <w:r w:rsidRPr="6D743D22" w:rsidR="162D5FED">
        <w:rPr>
          <w:rFonts w:ascii="Calibri" w:hAnsi="Calibri" w:eastAsia="Calibri" w:cs="Calibri"/>
          <w:b w:val="0"/>
          <w:bCs w:val="0"/>
          <w:i w:val="0"/>
          <w:iCs w:val="0"/>
          <w:caps w:val="0"/>
          <w:smallCaps w:val="0"/>
          <w:noProof w:val="0"/>
          <w:color w:val="000000" w:themeColor="text1" w:themeTint="FF" w:themeShade="FF"/>
          <w:sz w:val="21"/>
          <w:szCs w:val="21"/>
          <w:lang w:val="pl"/>
        </w:rPr>
        <w:t>https://fortkrakow.pl/</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i powinny być przygotowane w języku polskim.</w:t>
      </w:r>
    </w:p>
    <w:p w:rsidR="00352EA5" w:rsidP="6D743D22" w:rsidRDefault="0041212B" w14:paraId="60FB7A56" w14:textId="5D5E7A4C">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Aplikacja powinna zawierać informacje niezbędne do oceny Aplikującego i Projektu, w szczególności opis problemu lub potrzeby, potencjalnego zastosowania </w:t>
      </w:r>
      <w:r w:rsidRPr="6D743D22" w:rsidR="437A6CAD">
        <w:rPr>
          <w:rFonts w:ascii="Calibri" w:hAnsi="Calibri" w:eastAsia="Calibri" w:cs="Calibri"/>
          <w:b w:val="0"/>
          <w:bCs w:val="0"/>
          <w:i w:val="0"/>
          <w:iCs w:val="0"/>
          <w:caps w:val="0"/>
          <w:smallCaps w:val="0"/>
          <w:noProof w:val="0"/>
          <w:color w:val="000000" w:themeColor="text1" w:themeTint="FF" w:themeShade="FF"/>
          <w:sz w:val="21"/>
          <w:szCs w:val="21"/>
          <w:lang w:val="pl"/>
        </w:rPr>
        <w:t xml:space="preserve">rozwiązania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oraz gotowości Aplikującego do udziału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Programie. Aplikujący składa oświadczenia zgodne ze stanem faktycznym.</w:t>
      </w:r>
    </w:p>
    <w:p w:rsidR="00352EA5" w:rsidP="6D743D22" w:rsidRDefault="0041212B" w14:paraId="6FD2F181" w14:textId="31032D1F">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Inkubator może wezwać Aplikującego do uzupełnienia braków formalnych, poprawienia oczywistych omyłek lub złożenia dodatkowych wyjaśnień w wyznaczonym terminie.</w:t>
      </w:r>
    </w:p>
    <w:p w:rsidR="00352EA5" w:rsidP="6D743D22" w:rsidRDefault="0041212B" w14:paraId="26EF30EF" w14:textId="0A63F2DF">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Aplikacje podlegają w pierwszej kolejności ocenie formalnej zgodnie z Załącznikiem nr 1, a następnie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 w przypadku spełnienia kryteriów formalnych - ocenie merytorycznej zgodnie z Załącznikiem nr 2.</w:t>
      </w:r>
    </w:p>
    <w:p w:rsidR="00352EA5" w:rsidP="6D743D22" w:rsidRDefault="0041212B" w14:paraId="6E82178F" w14:textId="42FF2D18">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Oceny merytorycznej dokonuje panel ekspertów powołany przez Inkubator. Ocena obejmuje w szczególności potencjał Projektu w obszarze defence lub dual-use, rozpoznanie problemu i potrzeb użytkownika, potencjał technologiczny, możliwość dalszego rozwoju Projektu, kompetencje i motywację Aplikującego oraz przejrzystość koncepcji.</w:t>
      </w:r>
    </w:p>
    <w:p w:rsidR="00352EA5" w:rsidP="6D743D22" w:rsidRDefault="0041212B" w14:paraId="1824CB21" w14:textId="500205B2">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Do Programu może zostać zakwalifikowanych maksymalnie 15 Aplikujących z najwyższą oceną punktową, nie niższą niż 7 punktów. Przy wyborze Inkubator może uwzględnić także potrzebę zapewnienia różnorodności tematycznej, technologicznej i organizacyjnej grupy.</w:t>
      </w:r>
    </w:p>
    <w:p w:rsidR="00352EA5" w:rsidP="6D743D22" w:rsidRDefault="0041212B" w14:paraId="3A565FC4" w14:textId="05BBAD04">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 przebiegu oceny i wyboru Aplikujących sporządza się protokół. Może zostać utworzona lista rezerwowa.</w:t>
      </w:r>
    </w:p>
    <w:p w:rsidR="00352EA5" w:rsidP="6D743D22" w:rsidRDefault="0041212B" w14:paraId="638012F8" w14:textId="3222E36E">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Aplikujący są informowani o wynikach naboru drogą mailową. Zakwalifikowany Aplikujący potwierdza udział, zawiera Umowę Inkubacyjną w terminie wskazanym przez Inkubator. Brak potwierdzenia lub podpisania wymaganych dokumentów może zostać uznany za rezygnację, a Inkubator może zaprosić kolejną osobę lub Zespół osób fizycznych z listy rezerwowej.</w:t>
      </w:r>
    </w:p>
    <w:p w:rsidR="00352EA5" w:rsidP="6D743D22" w:rsidRDefault="0041212B" w14:paraId="69C22FA7" w14:textId="725BD5EA">
      <w:pPr>
        <w:pStyle w:val="ListParagraph"/>
        <w:numPr>
          <w:ilvl w:val="0"/>
          <w:numId w:val="11"/>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Aplikującemu nie przysługuje środek odwoławczy od decyzji dotyczącej oceny Aplikacji lub kwalifikacji do Programu. Decyzje w tym zakresie są ostateczne.</w:t>
      </w:r>
    </w:p>
    <w:p w:rsidR="00352EA5" w:rsidP="0A3F03D6" w:rsidRDefault="0041212B" w14:paraId="6F7F270E" w14:textId="222D3D30">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6. Udział w Programie i obowiązki Uczestników</w:t>
      </w:r>
    </w:p>
    <w:p w:rsidR="00352EA5" w:rsidP="6D743D22" w:rsidRDefault="0041212B" w14:paraId="51F44227" w14:textId="085319CB">
      <w:pPr>
        <w:pStyle w:val="ListParagraph"/>
        <w:numPr>
          <w:ilvl w:val="0"/>
          <w:numId w:val="1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Uczestnictwo w Programie jest bezpłatne. Uczestnik ponosi koszty dojazdu, zakwaterowania i wyżywienia związane z udziałem w Programie, chyba że Inkubator postanowi inaczej.</w:t>
      </w:r>
    </w:p>
    <w:p w:rsidR="00352EA5" w:rsidP="6D743D22" w:rsidRDefault="0041212B" w14:paraId="6782E4A8" w14:textId="66847D1C">
      <w:pPr>
        <w:pStyle w:val="ListParagraph"/>
        <w:numPr>
          <w:ilvl w:val="0"/>
          <w:numId w:val="1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przypadku osoby fizycznej w Programie uczestniczy Aplikujący wskazany w Aplikacji. Zespół osób fizycznych może być reprezentowany przez maksymalnie 2 osoby wskazane w Aplikacji, chyba że Inkubator wyrazi zgodę na udział większej liczby osób. Osoby uczestniczące w Programie muszą mieć ukończone 18 lat.</w:t>
      </w:r>
    </w:p>
    <w:p w:rsidR="00352EA5" w:rsidP="6D743D22" w:rsidRDefault="0041212B" w14:paraId="2E09B89F" w14:textId="3EB77B54">
      <w:pPr>
        <w:pStyle w:val="ListParagraph"/>
        <w:numPr>
          <w:ilvl w:val="0"/>
          <w:numId w:val="1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Uczestnik zobowiązuje się do aktywnego udziału w zaplanowanych działaniach, współpracy z Inkubatorem, mentorami i ekspertami, przygotowywania wymaganych materiałów oraz przekazywania informacji potrzebnych do realizacji Programu.</w:t>
      </w:r>
    </w:p>
    <w:p w:rsidR="00352EA5" w:rsidP="6D743D22" w:rsidRDefault="0041212B" w14:paraId="6B7953D2" w14:textId="38127A5E">
      <w:pPr>
        <w:pStyle w:val="ListParagraph"/>
        <w:numPr>
          <w:ilvl w:val="0"/>
          <w:numId w:val="1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Członkowie Zespołu osób fizycznych odpowiadają za własne działania i zaniechania.</w:t>
      </w:r>
    </w:p>
    <w:p w:rsidR="00352EA5" w:rsidP="6D743D22" w:rsidRDefault="0041212B" w14:paraId="450E47A0" w14:textId="4528641B">
      <w:pPr>
        <w:pStyle w:val="ListParagraph"/>
        <w:numPr>
          <w:ilvl w:val="0"/>
          <w:numId w:val="1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Uczestnik wyraża zgodę na wykorzystanie przez Inkubator w materiałach informacyjnych i promocyjnych związanych z Programem jego nazwy lub imienia i nazwiska, nazwy Projektu oraz krótkiego, niepoufnego opisu Projektu. Publikacja może nastąpić m.in. na stronie internetowej, w mediach społecznościowych, prezentacjach, raportach i materiałach prasowych, z zachowaniem zasad poufności.</w:t>
      </w:r>
    </w:p>
    <w:p w:rsidR="00352EA5" w:rsidP="6D743D22" w:rsidRDefault="0041212B" w14:paraId="5190BD2B" w14:textId="60861E9A">
      <w:pPr>
        <w:pStyle w:val="ListParagraph"/>
        <w:numPr>
          <w:ilvl w:val="0"/>
          <w:numId w:val="12"/>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Uczestnik oświadcza, że zgłoszenie i rozwijanie Projektu w Programie nie narusza praw osób trzecich ani jego zobowiązań wobec pracodawcy, uczelni, grantodawców, instytucji finansujących lub innych podmiotów. Uczestnik nie może ujawniać informacji niejawnych, zastrzeżonych lub innych informacji chronionych prawem bez odpowiedniego uprawnienia.</w:t>
      </w:r>
    </w:p>
    <w:p w:rsidR="00352EA5" w:rsidP="0A3F03D6" w:rsidRDefault="0041212B" w14:paraId="783C9372" w14:textId="67D45465">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7. Rezygnacja, rozwiązanie Umowy i wykluczenie z Programu</w:t>
      </w:r>
    </w:p>
    <w:p w:rsidR="00352EA5" w:rsidP="6D743D22" w:rsidRDefault="0041212B" w14:paraId="496F3AD9" w14:textId="7E299A95">
      <w:pPr>
        <w:pStyle w:val="ListParagraph"/>
        <w:numPr>
          <w:ilvl w:val="0"/>
          <w:numId w:val="13"/>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Umowa Inkubacyjna może zostać rozwiązana na mocy porozumienia Stron, przez każdą ze Stron z zachowaniem 14-dniowego okresu wypowiedzenia albo ze skutkiem natychmiastowym w przypadkach określonych w Umowie Inkubacyjnej lub Regulaminie. Wypowiedzenie wymaga formy pisemnej lub dokumentowej pod rygorem nieważności.</w:t>
      </w:r>
    </w:p>
    <w:p w:rsidR="00352EA5" w:rsidP="6D743D22" w:rsidRDefault="0041212B" w14:paraId="722519DE" w14:textId="149C6443">
      <w:pPr>
        <w:pStyle w:val="ListParagraph"/>
        <w:numPr>
          <w:ilvl w:val="0"/>
          <w:numId w:val="13"/>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Inkubator może rozwiązać Umowę Inkubacyjną ze skutkiem natychmiastowym albo wykluczyć Uczestnika </w:t>
      </w:r>
      <w:r>
        <w:br/>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 Programu w szczególności w przypadku: istotnego naruszenia Regulaminu lub Umowy Inkubacyjnej; podania nieprawdziwych informacji; niewywiązywania się z obowiązków lub braku aktywnego udziału; wykorzystania wsparcia niezgodnie z przeznaczeniem; naruszenia prawa, zasad poufności, bezpieczeństwa informacji lub praw osób trzecich; działania na szkodę Programu, Inkubatora, partnerów lub innych Uczestników, rozpoczęcia przez Uczestnika działalności gospodarczej w okolicznościach, o których mowa w § 3 ust. 8.</w:t>
      </w:r>
    </w:p>
    <w:p w:rsidR="00352EA5" w:rsidP="6D743D22" w:rsidRDefault="0041212B" w14:paraId="04A0CBD7" w14:textId="4C7EB6A7">
      <w:pPr>
        <w:pStyle w:val="ListParagraph"/>
        <w:numPr>
          <w:ilvl w:val="0"/>
          <w:numId w:val="13"/>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Uczestnik może rozwiązać Umowę Inkubacyjną ze skutkiem natychmiastowym w przypadku rażącego niewywiązywania się przez Inkubator z obowiązków wynikających z Umowy Inkubacyjnej.</w:t>
      </w:r>
    </w:p>
    <w:p w:rsidR="00352EA5" w:rsidP="6D743D22" w:rsidRDefault="0041212B" w14:paraId="22B60741" w14:textId="54C7301F">
      <w:pPr>
        <w:pStyle w:val="ListParagraph"/>
        <w:numPr>
          <w:ilvl w:val="0"/>
          <w:numId w:val="13"/>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przypadku zakończenia udziału z przyczyn leżących po stronie Uczestnika Inkubator może odmówić dalszego wsparcia.</w:t>
      </w:r>
    </w:p>
    <w:p w:rsidR="00352EA5" w:rsidP="6D743D22" w:rsidRDefault="0041212B" w14:paraId="56D3A813" w14:textId="1B413AAC">
      <w:pPr>
        <w:pStyle w:val="ListParagraph"/>
        <w:numPr>
          <w:ilvl w:val="0"/>
          <w:numId w:val="13"/>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Rozwiązanie Umowy lub zakończenie udziału nie zwalnia z obowiązków, które zgodnie z ich charakterem powinny obowiązywać nadal, w szczególności dotyczących poufności, bezpieczeństwa informacji, ochrony danych osobowych, własności intelektualnej.</w:t>
      </w:r>
    </w:p>
    <w:p w:rsidR="00352EA5" w:rsidP="6D743D22" w:rsidRDefault="0041212B" w14:paraId="5787E724" w14:textId="1192C56F">
      <w:pPr>
        <w:pStyle w:val="ListParagraph"/>
        <w:numPr>
          <w:ilvl w:val="0"/>
          <w:numId w:val="13"/>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W przypadku wykluczenia przedstawiciela Zespołu osób fizycznych, Inkubator może dopuścić jego zmianę.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przypadku zwolnienia miejsca Inkubator może zaprosić kolejnego Aplikującego z listy rezerwowej.</w:t>
      </w:r>
    </w:p>
    <w:p w:rsidR="00352EA5" w:rsidP="0A3F03D6" w:rsidRDefault="0041212B" w14:paraId="099FB0A8" w14:textId="6320C7F8">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8. Poufność i własność intelektualna</w:t>
      </w:r>
    </w:p>
    <w:p w:rsidR="00352EA5" w:rsidP="6D743D22" w:rsidRDefault="0041212B" w14:paraId="7BAD8DBF" w14:textId="32AB613A">
      <w:pPr>
        <w:pStyle w:val="ListParagraph"/>
        <w:numPr>
          <w:ilvl w:val="0"/>
          <w:numId w:val="1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Uczestnik zobowiązuje się do zachowania poufności informacji uzyskanych w związku z naborem i udziałem </w:t>
      </w:r>
      <w:r>
        <w:br/>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Programie, jeżeli zostały oznaczone jako poufne lub ich poufny charakter wynika z okoliczności. Informacje te mogą być wykorzystywane wyłącznie na potrzeby udziału w Programie. Obowiązek poufności obowiązuje również po zakończeniu udziału. Obowiązek ten obejmuje w szczególności informacje dotyczące Projektów innych Uczestników.</w:t>
      </w:r>
    </w:p>
    <w:p w:rsidR="00352EA5" w:rsidP="6D743D22" w:rsidRDefault="0041212B" w14:paraId="001855F0" w14:textId="7DBA29F9">
      <w:pPr>
        <w:pStyle w:val="ListParagraph"/>
        <w:numPr>
          <w:ilvl w:val="0"/>
          <w:numId w:val="1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Uczestnik nie powinien przekazywać w ramach Programu informacji niejawnych, zastrzeżonych, służbowych, prawnie chronionych lub należących do osób trzecich, jeżeli nie posiada uprawnienia do ich ujawnienia.</w:t>
      </w:r>
    </w:p>
    <w:p w:rsidR="00352EA5" w:rsidP="6D743D22" w:rsidRDefault="0041212B" w14:paraId="2FCB6F15" w14:textId="4EC65C53">
      <w:pPr>
        <w:pStyle w:val="ListParagraph"/>
        <w:numPr>
          <w:ilvl w:val="0"/>
          <w:numId w:val="1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Udział w Programie nie powoduje przeniesienia na Inkubator praw własności intelektualnej do Projektu. Prawa do Projektu, technologii, dokumentacji i materiałów rozwijanych przez Uczestnika pozostają przy Uczestniku lub innych uprawnionych osobach lub podmiotach, zgodnie z obowiązującymi przepisami i umowami.</w:t>
      </w:r>
    </w:p>
    <w:p w:rsidR="00352EA5" w:rsidP="6D743D22" w:rsidRDefault="0041212B" w14:paraId="4FB8F853" w14:textId="2D042E4D">
      <w:pPr>
        <w:pStyle w:val="ListParagraph"/>
        <w:numPr>
          <w:ilvl w:val="0"/>
          <w:numId w:val="1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Jeżeli Projekt jest rozwijany przez kilka osób, powinny one samodzielnie uregulować między sobą prawa do Projektu.</w:t>
      </w:r>
    </w:p>
    <w:p w:rsidR="00352EA5" w:rsidP="6D743D22" w:rsidRDefault="0041212B" w14:paraId="1FFBE80B" w14:textId="75705A0A">
      <w:pPr>
        <w:pStyle w:val="ListParagraph"/>
        <w:numPr>
          <w:ilvl w:val="0"/>
          <w:numId w:val="14"/>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Materiały edukacyjne, know-how, prezentacje, wzory dokumentów i inne treści udostępnione przez Inkubator, mentorów lub ekspertów mogą być wykorzystywane przez Uczestnika wyłącznie na potrzeby udziału w Programie, chyba że Inkubator postanowi inaczej.</w:t>
      </w:r>
    </w:p>
    <w:p w:rsidR="00352EA5" w:rsidP="0A3F03D6" w:rsidRDefault="0041212B" w14:paraId="1CAC96C6" w14:textId="09774B16">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9. Dane osobowe</w:t>
      </w:r>
    </w:p>
    <w:p w:rsidR="00352EA5" w:rsidP="6D743D22" w:rsidRDefault="0041212B" w14:paraId="65553453" w14:textId="16A86679">
      <w:pPr>
        <w:pStyle w:val="ListParagraph"/>
        <w:numPr>
          <w:ilvl w:val="0"/>
          <w:numId w:val="17"/>
        </w:numPr>
        <w:spacing w:before="240"/>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Administratorem danych osobowych Aplikujących i Uczestników jest Akademia Górniczo-Hutnicza im. Stanisława Staszica w Krakowie z siedzibą w Krakowie, al. A. Mickiewicza 30, 30-059 Kraków, zwana dalej „Administratorem”.</w:t>
      </w:r>
    </w:p>
    <w:p w:rsidR="00352EA5" w:rsidP="6D743D22" w:rsidRDefault="0041212B" w14:paraId="7CA0953C" w14:textId="2388CAD5">
      <w:pPr>
        <w:pStyle w:val="ListParagraph"/>
        <w:numPr>
          <w:ilvl w:val="0"/>
          <w:numId w:val="17"/>
        </w:numPr>
        <w:spacing w:before="240"/>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Z Administratorem można kontaktować się pisemnie na adres siedziby lub za pośrednictwem adresu e-mail wskazanego do kontaktu w sprawach Programu. Administrator wyznaczył Inspektora Ochrony Danych Osobowych, </w:t>
      </w:r>
      <w:r>
        <w:br/>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z którym można kontaktować się pod adresem siedziby lub e-mail: </w:t>
      </w:r>
      <w:hyperlink r:id="R7648876683b54867">
        <w:r w:rsidRPr="6D743D22" w:rsidR="0D1320FE">
          <w:rPr>
            <w:rStyle w:val="Hyperlink"/>
            <w:b w:val="0"/>
            <w:bCs w:val="0"/>
            <w:i w:val="0"/>
            <w:iCs w:val="0"/>
            <w:caps w:val="0"/>
            <w:smallCaps w:val="0"/>
            <w:noProof w:val="0"/>
            <w:sz w:val="21"/>
            <w:szCs w:val="21"/>
            <w:lang w:val="pl"/>
          </w:rPr>
          <w:t>iodo@agh.edu.pl</w:t>
        </w:r>
      </w:hyperlink>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t>
      </w:r>
    </w:p>
    <w:p w:rsidR="00352EA5" w:rsidP="6D743D22" w:rsidRDefault="0041212B" w14:paraId="21995C18" w14:textId="6E4D773B">
      <w:pPr>
        <w:pStyle w:val="ListParagraph"/>
        <w:numPr>
          <w:ilvl w:val="0"/>
          <w:numId w:val="17"/>
        </w:numPr>
        <w:spacing w:before="240"/>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Dane osobowe przekazane w Aplikacji oraz w związku z udziałem w Programie będą przetwarzane w celu:</w:t>
      </w:r>
    </w:p>
    <w:p w:rsidR="00352EA5" w:rsidP="6D743D22" w:rsidRDefault="0041212B" w14:paraId="32407CEE" w14:textId="3129C15C">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a) przeprowadzenia naboru, oceny Aplikacji i kontaktu z Aplikującymi, dokumentowania i organizacji Programu (art. 6 ust. 1 lit. e RODO tj. przetwarzanie danych jest niezbędne do wykonania zadań realizowanych w interesie publicznym, jakie nakładają na uczelnie przepisy ustawy z dnia 20 lipca 2018 r. - Prawo o szkolnictwie wyższym </w:t>
      </w:r>
      <w:r>
        <w:br/>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i nauce); </w:t>
      </w:r>
    </w:p>
    <w:p w:rsidR="00352EA5" w:rsidP="6D743D22" w:rsidRDefault="0041212B" w14:paraId="43530D9C" w14:textId="0891B5B2">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b) zawarcia i realizacji Umowy Inkubacyjnej z Uczestnikiem (art. 6 ust. 1 lit. b RODO tj. przetwarzanie jest niezbędne do wykonania umowy, której stroną jest osoba, której dane dotyczą); </w:t>
      </w:r>
    </w:p>
    <w:p w:rsidR="00352EA5" w:rsidP="6D743D22" w:rsidRDefault="0041212B" w14:paraId="02E357B7" w14:textId="21C08032">
      <w:pPr>
        <w:pStyle w:val="ListParagraph"/>
        <w:spacing w:before="0" w:beforeAutospacing="off" w:after="0" w:afterAutospacing="off"/>
        <w:ind w:left="720"/>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c) realizacji obowiązków prawnych, księgowych i archiwizacyjnych oraz ewentualnego ustalenia, dochodzenia lub obrony przed roszczeniami (art. 6 ust. 1 lit. c RODO tj. przetwarzanie jest niezbędne do wypełnienia obowiązku prawnego ciążącego na administratorze); </w:t>
      </w:r>
    </w:p>
    <w:p w:rsidR="00352EA5" w:rsidP="6D743D22" w:rsidRDefault="0041212B" w14:paraId="1F8557A8" w14:textId="1B44313C">
      <w:pPr>
        <w:pStyle w:val="ListParagraph"/>
        <w:numPr>
          <w:ilvl w:val="0"/>
          <w:numId w:val="1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Dane osobowe Uczestników mogą być również przetwarzane na podstawie zgody Uczestnika  – tj. w trybie art. 6 ust. 1 lit. a RODO – w zakresie i dla celów określonych w oświadczeniu zgody, w tym w szczególności w celu zapewnienia Administratorowi możliwości upublicznienia imienia i nazwiska, nazwy Projektu i jego krótkiego niepoufnego opisu oraz rozpowszechniania wizerunku, głosu lub wypowiedzi Uczestnika utrwalonych podczas działań Programu,</w:t>
      </w:r>
    </w:p>
    <w:p w:rsidR="00352EA5" w:rsidP="6D743D22" w:rsidRDefault="0041212B" w14:paraId="57B1FA2C" w14:textId="123BFA4B">
      <w:pPr>
        <w:pStyle w:val="ListParagraph"/>
        <w:numPr>
          <w:ilvl w:val="0"/>
          <w:numId w:val="1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Podanie danych jest dobrowolne, lecz niezbędne do udziału w naborze i Programie. Odbiorcami danych mogą być podmioty uprawnione na podstawie prawa, pracownicy Administratora na podstawie wydanych upoważnień, instytucje nadzorujące lub kontrolujące realizację Programu, partnerzy Programu w niezbędnym zakresie oraz podmioty przetwarzające dane na zlecenie Administratora, w szczególności dostawcy usług informatycznych, prawnych, księgowych, doradczych, organizacyjnych, promocyjnych lub technicznych na podstawie umowy powierzenia przetwarzania danych osobowych.</w:t>
      </w:r>
    </w:p>
    <w:p w:rsidR="00352EA5" w:rsidP="6D743D22" w:rsidRDefault="0041212B" w14:paraId="3167385B" w14:textId="0265ABD8">
      <w:pPr>
        <w:pStyle w:val="ListParagraph"/>
        <w:numPr>
          <w:ilvl w:val="0"/>
          <w:numId w:val="1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Dane będą przetwarzane przez czas naboru i realizacji Programu oraz przez okres wymagany przepisami prawa </w:t>
      </w:r>
      <w:r>
        <w:br/>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i zasadami archiwizacji, nie krótszy niż 5 lat, chyba że dłuższy okres wynika z przepisów, wymogów instytucji finansujących lub potrzeby dochodzenia albo obrony przed roszczeniami.</w:t>
      </w:r>
    </w:p>
    <w:p w:rsidR="00352EA5" w:rsidP="6D743D22" w:rsidRDefault="0041212B" w14:paraId="4BCFB373" w14:textId="1F96DBCB">
      <w:pPr>
        <w:pStyle w:val="ListParagraph"/>
        <w:numPr>
          <w:ilvl w:val="0"/>
          <w:numId w:val="1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Osobie, której dane dotyczą, przysługują - w przypadkach i na warunkach określonych w RODO - prawa dostępu do danych i otrzymania ich kopii, sprostowania, usunięcia, ograniczenia przetwarzania, sprzeciwu oraz przenoszenia danych. Prawa te można realizować poprzez kontakt z Administratorem lub Inspektorem Ochrony Danych Osobowych.</w:t>
      </w:r>
    </w:p>
    <w:p w:rsidR="00352EA5" w:rsidP="6D743D22" w:rsidRDefault="0041212B" w14:paraId="0FD73243" w14:textId="6B124598">
      <w:pPr>
        <w:pStyle w:val="ListParagraph"/>
        <w:numPr>
          <w:ilvl w:val="0"/>
          <w:numId w:val="1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Osobie, której dane dotyczą przysługuje również prawo wniesienia skargi do organu nadzorczego – Prezesa Urzędu Ochrony Danych Osobowych w trybie art. 77 RODO. </w:t>
      </w:r>
    </w:p>
    <w:p w:rsidR="00352EA5" w:rsidP="6D743D22" w:rsidRDefault="0041212B" w14:paraId="4681410C" w14:textId="0886DCB1">
      <w:pPr>
        <w:pStyle w:val="ListParagraph"/>
        <w:numPr>
          <w:ilvl w:val="0"/>
          <w:numId w:val="17"/>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W związku z przetwarzaniem danych osobowych Aplikujący i Uczestnicy nie będą podlegali zautomatyzowanym procesom podejmowania decyzji, w tym profilowaniu. </w:t>
      </w:r>
    </w:p>
    <w:p w:rsidR="00352EA5" w:rsidP="6D743D22" w:rsidRDefault="0041212B" w14:paraId="13CA6AFF" w14:textId="7EE70394">
      <w:pPr>
        <w:pStyle w:val="ListParagraph"/>
        <w:numPr>
          <w:ilvl w:val="0"/>
          <w:numId w:val="17"/>
        </w:numPr>
        <w:spacing w:before="0" w:beforeAutospacing="off" w:after="0" w:afterAutospacing="off"/>
        <w:jc w:val="both"/>
        <w:rPr>
          <w:rFonts w:ascii="Aptos" w:hAnsi="Aptos" w:eastAsia="Aptos" w:cs="Aptos"/>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Dane Aplikujących i Uczestników, nie będą przekazywane do organizacji międzynarodowych ani państw trzecich, chyba że będzie to niezbędne do realizacji Programu i nastąpi zgodnie z obowiązującymi przepisami prawa.</w:t>
      </w:r>
      <w:r w:rsidRPr="6D743D22" w:rsidR="0D1320FE">
        <w:rPr>
          <w:rFonts w:ascii="Aptos" w:hAnsi="Aptos" w:eastAsia="Aptos" w:cs="Aptos"/>
          <w:b w:val="0"/>
          <w:bCs w:val="0"/>
          <w:i w:val="0"/>
          <w:iCs w:val="0"/>
          <w:caps w:val="0"/>
          <w:smallCaps w:val="0"/>
          <w:noProof w:val="0"/>
          <w:color w:val="000000" w:themeColor="text1" w:themeTint="FF" w:themeShade="FF"/>
          <w:sz w:val="21"/>
          <w:szCs w:val="21"/>
          <w:lang w:val="pl"/>
        </w:rPr>
        <w:t>10. Dane Aplikujących i Uczestników, nie będą przekazywane do organizacji międzynarodowych ani państw trzecich, chyba że będzie to niezbędne do realizacji Programu i nastąpi zgodnie z obowiązującymi przepisami prawa.</w:t>
      </w:r>
    </w:p>
    <w:p w:rsidR="00352EA5" w:rsidP="0A3F03D6" w:rsidRDefault="0041212B" w14:paraId="2D106C0A" w14:textId="4E72097C">
      <w:pPr>
        <w:pStyle w:val="Heading1"/>
        <w:keepNext w:val="1"/>
        <w:keepLines w:val="1"/>
        <w:spacing w:before="240"/>
        <w:jc w:val="center"/>
        <w:rPr>
          <w:rFonts w:ascii="Calibri" w:hAnsi="Calibri" w:eastAsia="Calibri" w:cs="Calibri"/>
          <w:b w:val="1"/>
          <w:bCs w:val="1"/>
          <w:i w:val="0"/>
          <w:iCs w:val="0"/>
          <w:caps w:val="0"/>
          <w:smallCaps w:val="0"/>
          <w:noProof w:val="0"/>
          <w:color w:val="000000" w:themeColor="text1" w:themeTint="FF" w:themeShade="FF"/>
          <w:sz w:val="26"/>
          <w:szCs w:val="26"/>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6"/>
          <w:szCs w:val="26"/>
          <w:lang w:val="pl"/>
        </w:rPr>
        <w:t>§ 10. Postanowienia końcowe</w:t>
      </w:r>
    </w:p>
    <w:p w:rsidR="00352EA5" w:rsidP="6D743D22" w:rsidRDefault="0041212B" w14:paraId="7DAF63FB" w14:textId="5F8654DC">
      <w:pPr>
        <w:pStyle w:val="ListParagraph"/>
        <w:numPr>
          <w:ilvl w:val="0"/>
          <w:numId w:val="1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Inkubator może zmienić Regulamin, anulować nabór, zakończyć realizację Programu przed czasem lub wydłużyć jego trwanie, jeżeli jest to uzasadnione zmianą przepisów prawa, warunkami realizacji Programu, względami organizacyjnymi lub zdarzeniem o charakterze siły wyższej. Informacja o zmianie Regulaminu oraz jego aktualna treść zostaną udostępnione w sposób przyjęty dla komunikacji Programu. Zmiana Regulaminu wiąże Uczestnika, z którym zawarto Umowę Inkubacyjną, jeżeli nie wypowie on Umowy Inkubacyjnej w terminie 14 dni od dnia poinformowania go o zmianie; zmiana nie może naruszać praw nabytych Uczestnika.</w:t>
      </w:r>
    </w:p>
    <w:p w:rsidR="00352EA5" w:rsidP="6D743D22" w:rsidRDefault="0041212B" w14:paraId="2E00CB5A" w14:textId="7F75DB42">
      <w:pPr>
        <w:pStyle w:val="ListParagraph"/>
        <w:numPr>
          <w:ilvl w:val="0"/>
          <w:numId w:val="1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W sprawach nieuregulowanych Regulaminem decyzje podejmuje Inkubator, z uwzględnieniem obowiązujących przepisów prawa i dokumentów dotyczących realizacji Programu.</w:t>
      </w:r>
    </w:p>
    <w:p w:rsidR="00352EA5" w:rsidP="6D743D22" w:rsidRDefault="0041212B" w14:paraId="6814FB48" w14:textId="01198F71">
      <w:pPr>
        <w:pStyle w:val="ListParagraph"/>
        <w:numPr>
          <w:ilvl w:val="0"/>
          <w:numId w:val="1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Regulamin wchodzi w życie z dniem publikacji. Złożenie Aplikacji oznacza zapoznanie się z Regulaminem </w:t>
      </w:r>
      <w:r>
        <w:br/>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i akceptację zasad naboru.</w:t>
      </w:r>
    </w:p>
    <w:p w:rsidR="00352EA5" w:rsidP="6D743D22" w:rsidRDefault="0041212B" w14:paraId="17B05BCA" w14:textId="0F6DC3CE">
      <w:pPr>
        <w:pStyle w:val="ListParagraph"/>
        <w:numPr>
          <w:ilvl w:val="0"/>
          <w:numId w:val="18"/>
        </w:numPr>
        <w:spacing w:before="0" w:beforeAutospacing="off" w:after="0" w:afterAutospacing="off"/>
        <w:jc w:val="both"/>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Załączniki stanowią integralną część Regulaminu.</w:t>
      </w:r>
    </w:p>
    <w:p w:rsidR="00352EA5" w:rsidP="0A3F03D6" w:rsidRDefault="0041212B" w14:paraId="65019659" w14:textId="5081C57F">
      <w:pPr>
        <w:spacing w:before="240"/>
        <w:jc w:val="both"/>
        <w:rPr>
          <w:rFonts w:ascii="Calibri" w:hAnsi="Calibri" w:eastAsia="Calibri" w:cs="Calibri"/>
          <w:b w:val="0"/>
          <w:bCs w:val="0"/>
          <w:i w:val="0"/>
          <w:iCs w:val="0"/>
          <w:caps w:val="0"/>
          <w:smallCaps w:val="0"/>
          <w:noProof w:val="0"/>
          <w:color w:val="000000" w:themeColor="text1" w:themeTint="FF" w:themeShade="FF"/>
          <w:sz w:val="21"/>
          <w:szCs w:val="21"/>
          <w:lang w:val="pl"/>
        </w:rPr>
      </w:pPr>
    </w:p>
    <w:p w:rsidR="00352EA5" w:rsidP="0A3F03D6" w:rsidRDefault="0041212B" w14:paraId="68FA9AA9" w14:textId="0BF3DB7B">
      <w:pPr>
        <w:spacing w:before="240"/>
        <w:jc w:val="both"/>
        <w:rPr>
          <w:rFonts w:ascii="Calibri" w:hAnsi="Calibri" w:eastAsia="Calibri" w:cs="Calibri"/>
          <w:b w:val="0"/>
          <w:bCs w:val="0"/>
          <w:i w:val="0"/>
          <w:iCs w:val="0"/>
          <w:caps w:val="0"/>
          <w:smallCaps w:val="0"/>
          <w:noProof w:val="0"/>
          <w:color w:val="000000" w:themeColor="text1" w:themeTint="FF" w:themeShade="FF"/>
          <w:sz w:val="22"/>
          <w:szCs w:val="22"/>
          <w:lang w:val="pl"/>
        </w:rPr>
      </w:pPr>
      <w:r w:rsidRPr="0A3F03D6" w:rsidR="0D1320FE">
        <w:rPr>
          <w:rFonts w:ascii="Calibri" w:hAnsi="Calibri" w:eastAsia="Calibri" w:cs="Calibri"/>
          <w:b w:val="1"/>
          <w:bCs w:val="1"/>
          <w:i w:val="0"/>
          <w:iCs w:val="0"/>
          <w:caps w:val="0"/>
          <w:smallCaps w:val="0"/>
          <w:noProof w:val="0"/>
          <w:color w:val="000000" w:themeColor="text1" w:themeTint="FF" w:themeShade="FF"/>
          <w:sz w:val="22"/>
          <w:szCs w:val="22"/>
          <w:lang w:val="pl"/>
        </w:rPr>
        <w:t>Załączniki</w:t>
      </w:r>
    </w:p>
    <w:p w:rsidR="00352EA5" w:rsidP="6D743D22" w:rsidRDefault="0041212B" w14:paraId="24801668" w14:textId="7DDEE532">
      <w:pPr>
        <w:spacing w:before="0" w:beforeAutospacing="off" w:after="0" w:afterAutospacing="off" w:line="240" w:lineRule="auto"/>
        <w:ind w:left="340" w:hanging="198"/>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1"/>
          <w:bCs w:val="1"/>
          <w:i w:val="0"/>
          <w:iCs w:val="0"/>
          <w:caps w:val="0"/>
          <w:smallCaps w:val="0"/>
          <w:noProof w:val="0"/>
          <w:color w:val="000000" w:themeColor="text1" w:themeTint="FF" w:themeShade="FF"/>
          <w:sz w:val="21"/>
          <w:szCs w:val="21"/>
          <w:lang w:val="pl"/>
        </w:rPr>
        <w:t xml:space="preserve">•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Załącznik nr 1 - Kryteria formalne</w:t>
      </w:r>
    </w:p>
    <w:p w:rsidR="00352EA5" w:rsidP="6D743D22" w:rsidRDefault="0041212B" w14:paraId="29A60BFC" w14:textId="13A0330D">
      <w:pPr>
        <w:spacing w:before="0" w:beforeAutospacing="off" w:after="0" w:afterAutospacing="off" w:line="240" w:lineRule="auto"/>
        <w:ind w:left="340" w:hanging="198"/>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1"/>
          <w:bCs w:val="1"/>
          <w:i w:val="0"/>
          <w:iCs w:val="0"/>
          <w:caps w:val="0"/>
          <w:smallCaps w:val="0"/>
          <w:noProof w:val="0"/>
          <w:color w:val="000000" w:themeColor="text1" w:themeTint="FF" w:themeShade="FF"/>
          <w:sz w:val="21"/>
          <w:szCs w:val="21"/>
          <w:lang w:val="pl"/>
        </w:rPr>
        <w:t xml:space="preserve">•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Załącznik nr 2 </w:t>
      </w:r>
      <w:r w:rsidRPr="6D743D22" w:rsidR="60C17590">
        <w:rPr>
          <w:rFonts w:ascii="Calibri" w:hAnsi="Calibri" w:eastAsia="Calibri" w:cs="Calibri"/>
          <w:b w:val="0"/>
          <w:bCs w:val="0"/>
          <w:i w:val="0"/>
          <w:iCs w:val="0"/>
          <w:caps w:val="0"/>
          <w:smallCaps w:val="0"/>
          <w:noProof w:val="0"/>
          <w:color w:val="000000" w:themeColor="text1" w:themeTint="FF" w:themeShade="FF"/>
          <w:sz w:val="21"/>
          <w:szCs w:val="21"/>
          <w:lang w:val="pl"/>
        </w:rPr>
        <w:t xml:space="preserve">- </w:t>
      </w: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Kryteria merytoryczne</w:t>
      </w:r>
    </w:p>
    <w:p w:rsidR="00352EA5" w:rsidP="6D743D22" w:rsidRDefault="0041212B" w14:paraId="6315860C" w14:textId="6A1EACD0">
      <w:pPr>
        <w:spacing w:before="0" w:beforeAutospacing="off" w:after="0" w:afterAutospacing="off" w:line="240" w:lineRule="auto"/>
        <w:ind w:left="340" w:hanging="198"/>
        <w:rPr>
          <w:rFonts w:ascii="Calibri" w:hAnsi="Calibri" w:eastAsia="Calibri" w:cs="Calibri"/>
          <w:b w:val="0"/>
          <w:bCs w:val="0"/>
          <w:i w:val="0"/>
          <w:iCs w:val="0"/>
          <w:caps w:val="0"/>
          <w:smallCaps w:val="0"/>
          <w:noProof w:val="0"/>
          <w:color w:val="000000" w:themeColor="text1" w:themeTint="FF" w:themeShade="FF"/>
          <w:sz w:val="21"/>
          <w:szCs w:val="21"/>
          <w:lang w:val="pl"/>
        </w:rPr>
      </w:pPr>
      <w:r w:rsidRPr="6D743D22" w:rsidR="0D1320FE">
        <w:rPr>
          <w:rFonts w:ascii="Calibri" w:hAnsi="Calibri" w:eastAsia="Calibri" w:cs="Calibri"/>
          <w:b w:val="0"/>
          <w:bCs w:val="0"/>
          <w:i w:val="0"/>
          <w:iCs w:val="0"/>
          <w:caps w:val="0"/>
          <w:smallCaps w:val="0"/>
          <w:noProof w:val="0"/>
          <w:color w:val="000000" w:themeColor="text1" w:themeTint="FF" w:themeShade="FF"/>
          <w:sz w:val="21"/>
          <w:szCs w:val="21"/>
          <w:lang w:val="pl"/>
        </w:rPr>
        <w:t xml:space="preserve">• Załącznik nr 3 - Wzór Umowy Inkubacyjnej </w:t>
      </w:r>
    </w:p>
    <w:p w:rsidR="00352EA5" w:rsidP="0A3F03D6" w:rsidRDefault="0041212B" w14:paraId="5D1A6092" w14:textId="6D44B678">
      <w:pPr>
        <w:spacing w:before="240"/>
        <w:ind w:left="340" w:hanging="198"/>
        <w:rPr>
          <w:rFonts w:ascii="Aptos" w:hAnsi="Aptos" w:eastAsia="Aptos" w:cs="Aptos"/>
          <w:b w:val="0"/>
          <w:bCs w:val="0"/>
          <w:i w:val="0"/>
          <w:iCs w:val="0"/>
          <w:caps w:val="0"/>
          <w:smallCaps w:val="0"/>
          <w:noProof w:val="0"/>
          <w:color w:val="000000" w:themeColor="text1" w:themeTint="FF" w:themeShade="FF"/>
          <w:sz w:val="21"/>
          <w:szCs w:val="21"/>
          <w:lang w:val="pl"/>
        </w:rPr>
      </w:pPr>
    </w:p>
    <w:p w:rsidR="00352EA5" w:rsidP="0A3F03D6" w:rsidRDefault="0041212B" w14:paraId="000000E0" w14:textId="490DB23B">
      <w:pPr>
        <w:spacing w:before="240"/>
        <w:rPr>
          <w:i w:val="1"/>
          <w:iCs w:val="1"/>
          <w:sz w:val="16"/>
          <w:szCs w:val="16"/>
        </w:rPr>
      </w:pPr>
    </w:p>
    <w:sectPr w:rsidR="00352EA5">
      <w:footerReference w:type="default" r:id="rId11"/>
      <w:pgSz w:w="12240" w:h="15840" w:orient="portrait"/>
      <w:pgMar w:top="1020" w:right="1134" w:bottom="1020" w:left="1134" w:header="720" w:footer="720" w:gutter="0"/>
      <w:pgNumType w:start="1"/>
      <w:cols w:equalWidth="1" w:space="720" w:num="1"/>
      <w:headerReference w:type="default" r:id="Ree99f0a9e26d4ccb"/>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1212B" w:rsidRDefault="0041212B" w14:paraId="55F74BB1" w14:textId="77777777">
      <w:pPr>
        <w:spacing w:after="0" w:line="240" w:lineRule="auto"/>
      </w:pPr>
      <w:r>
        <w:separator/>
      </w:r>
    </w:p>
  </w:endnote>
  <w:endnote w:type="continuationSeparator" w:id="0">
    <w:p w:rsidR="0041212B" w:rsidRDefault="0041212B" w14:paraId="5900648A"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626B5196-19F4-47DC-9DC5-1FCA15E79A7C}" r:id="rId1"/>
    <w:embedBold w:fontKey="{8D397D32-18DB-45F7-9850-E53DF46A51AF}" r:id="rId2"/>
    <w:embedItalic w:fontKey="{A9F31E1F-43BB-450B-98D2-D2E255D2E8CC}" r:id="rId3"/>
    <w:embedBoldItalic w:fontKey="{12F91940-E73C-41C3-BE98-7DE50DB055FE}" r:id="rId4"/>
  </w:font>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embedRegular w:fontKey="{F4914790-46FD-42AE-88CD-51721A3CBA3C}" r:id="rId5"/>
  </w:font>
  <w:font w:name="Roboto">
    <w:panose1 w:val="02000000000000000000"/>
    <w:charset w:val="00"/>
    <w:family w:val="auto"/>
    <w:pitch w:val="variable"/>
    <w:sig w:usb0="E0000AFF" w:usb1="5000217F" w:usb2="00000021" w:usb3="00000000" w:csb0="0000019F" w:csb1="00000000"/>
    <w:embedRegular w:fontKey="{04D8D0B1-CB49-4F95-93FC-B271674CE362}" r:id="rId6"/>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embedRegular w:fontKey="{EE2FA113-87E1-41ED-9286-470AC04E1CC2}" r:id="rId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72CD9659" w:rsidP="72CD9659" w:rsidRDefault="72CD9659" w14:paraId="3B1E0978" w14:textId="3D14E3BD">
    <w:pPr>
      <w:pStyle w:val="Footer"/>
      <w:tabs>
        <w:tab w:val="center" w:leader="none" w:pos="4680"/>
        <w:tab w:val="right" w:leader="none" w:pos="9360"/>
      </w:tabs>
      <w:spacing w:after="0" w:line="240" w:lineRule="auto"/>
      <w:jc w:val="center"/>
      <w:rPr>
        <w:rFonts w:ascii="Calibri" w:hAnsi="Calibri" w:eastAsia="Calibri" w:cs="Calibri"/>
        <w:b w:val="0"/>
        <w:bCs w:val="0"/>
        <w:i w:val="0"/>
        <w:iCs w:val="0"/>
        <w:caps w:val="0"/>
        <w:smallCaps w:val="0"/>
        <w:noProof w:val="0"/>
        <w:color w:val="000000" w:themeColor="text1" w:themeTint="FF" w:themeShade="FF"/>
        <w:sz w:val="18"/>
        <w:szCs w:val="18"/>
        <w:lang w:val="en-US"/>
      </w:rPr>
    </w:pPr>
    <w:r w:rsidRPr="72CD9659" w:rsidR="72CD9659">
      <w:rPr>
        <w:rFonts w:ascii="Calibri" w:hAnsi="Calibri" w:eastAsia="Calibri" w:cs="Calibri"/>
        <w:b w:val="0"/>
        <w:bCs w:val="0"/>
        <w:i w:val="0"/>
        <w:iCs w:val="0"/>
        <w:caps w:val="0"/>
        <w:smallCaps w:val="0"/>
        <w:noProof w:val="0"/>
        <w:color w:val="000000" w:themeColor="text1" w:themeTint="FF" w:themeShade="FF"/>
        <w:sz w:val="18"/>
        <w:szCs w:val="18"/>
        <w:lang w:val="pl-PL"/>
      </w:rPr>
      <w:t xml:space="preserve">        Patronat Honorowy:     </w:t>
    </w:r>
  </w:p>
  <w:p w:rsidR="72CD9659" w:rsidP="72CD9659" w:rsidRDefault="72CD9659" w14:paraId="31325686" w14:textId="31933411">
    <w:pPr>
      <w:tabs>
        <w:tab w:val="center" w:leader="none" w:pos="4680"/>
        <w:tab w:val="right" w:leader="none" w:pos="9360"/>
      </w:tabs>
      <w:spacing w:after="0"/>
      <w:jc w:val="center"/>
      <w:rPr>
        <w:rFonts w:ascii="Arial" w:hAnsi="Arial" w:eastAsia="Arial" w:cs="Arial"/>
        <w:b w:val="0"/>
        <w:bCs w:val="0"/>
        <w:i w:val="0"/>
        <w:iCs w:val="0"/>
        <w:caps w:val="0"/>
        <w:smallCaps w:val="0"/>
        <w:noProof w:val="0"/>
        <w:color w:val="000000" w:themeColor="text1" w:themeTint="FF" w:themeShade="FF"/>
        <w:sz w:val="20"/>
        <w:szCs w:val="20"/>
        <w:lang w:val="en-US"/>
      </w:rPr>
    </w:pPr>
    <w:r w:rsidR="72CD9659">
      <w:drawing>
        <wp:inline wp14:editId="398ADACB" wp14:anchorId="30C6BE7E">
          <wp:extent cx="1352550" cy="476250"/>
          <wp:effectExtent l="0" t="0" r="0" b="0"/>
          <wp:docPr id="19858485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8584856" name="Picture 198584856"/>
                  <pic:cNvPicPr/>
                </pic:nvPicPr>
                <pic:blipFill>
                  <a:blip xmlns:r="http://schemas.openxmlformats.org/officeDocument/2006/relationships" r:embed="rId1644287973">
                    <a:extLst>
                      <a:ext uri="{28A0092B-C50C-407E-A947-70E740481C1C}">
                        <a14:useLocalDpi xmlns:a14="http://schemas.microsoft.com/office/drawing/2010/main"/>
                      </a:ext>
                    </a:extLst>
                  </a:blip>
                  <a:stretch>
                    <a:fillRect/>
                  </a:stretch>
                </pic:blipFill>
                <pic:spPr>
                  <a:xfrm>
                    <a:off x="0" y="0"/>
                    <a:ext cx="1352550" cy="476250"/>
                  </a:xfrm>
                  <a:prstGeom prst="rect">
                    <a:avLst/>
                  </a:prstGeom>
                </pic:spPr>
              </pic:pic>
            </a:graphicData>
          </a:graphic>
        </wp:inline>
      </w:drawing>
    </w:r>
  </w:p>
  <w:p w:rsidR="72CD9659" w:rsidP="72CD9659" w:rsidRDefault="72CD9659" w14:paraId="3F872B79" w14:textId="7E4967DA">
    <w:pPr>
      <w:pStyle w:val="Normal"/>
      <w:tabs>
        <w:tab w:val="center" w:leader="none" w:pos="4680"/>
        <w:tab w:val="right" w:leader="none" w:pos="9360"/>
      </w:tabs>
      <w:spacing w:after="0"/>
      <w:rPr>
        <w:rFonts w:ascii="Calibri" w:hAnsi="Calibri" w:eastAsia="Calibri" w:cs="Calibri"/>
        <w:b w:val="0"/>
        <w:bCs w:val="0"/>
        <w:i w:val="0"/>
        <w:iCs w:val="0"/>
        <w:caps w:val="0"/>
        <w:smallCaps w:val="0"/>
        <w:noProof w:val="0"/>
        <w:color w:val="000000" w:themeColor="text1" w:themeTint="FF" w:themeShade="FF"/>
        <w:sz w:val="21"/>
        <w:szCs w:val="21"/>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1212B" w:rsidRDefault="0041212B" w14:paraId="36698D76" w14:textId="77777777">
      <w:pPr>
        <w:spacing w:after="0" w:line="240" w:lineRule="auto"/>
      </w:pPr>
      <w:r>
        <w:separator/>
      </w:r>
    </w:p>
  </w:footnote>
  <w:footnote w:type="continuationSeparator" w:id="0">
    <w:p w:rsidR="0041212B" w:rsidRDefault="0041212B" w14:paraId="549C231E" w14:textId="77777777">
      <w:pPr>
        <w:spacing w:after="0" w:line="240" w:lineRule="auto"/>
      </w:pPr>
      <w:r>
        <w:continuationSeparator/>
      </w:r>
    </w:p>
  </w:footnote>
</w:footnotes>
</file>

<file path=word/header.xml><?xml version="1.0" encoding="utf-8"?>
<w:hdr xmlns:w14="http://schemas.microsoft.com/office/word/2010/wordml" xmlns:wp="http://schemas.openxmlformats.org/drawingml/2006/wordprocessingDrawing" xmlns:wp14="http://schemas.microsoft.com/office/word/2010/wordprocessingDrawing" xmlns:a="http://schemas.openxmlformats.org/drawingml/2006/main" xmlns:pic="http://schemas.openxmlformats.org/drawingml/2006/picture" xmlns:r="http://schemas.openxmlformats.org/officeDocument/2006/relationships" xmlns:a14="http://schemas.microsoft.com/office/drawing/2010/main" xmlns:w="http://schemas.openxmlformats.org/wordprocessingml/2006/main">
  <w:p w:rsidR="18CC8F11" w:rsidP="72CD9659" w:rsidRDefault="18CC8F11" w14:paraId="4A97047E" w14:textId="3F3EAABD">
    <w:pPr>
      <w:tabs>
        <w:tab w:val="center" w:leader="none" w:pos="4680"/>
        <w:tab w:val="right" w:leader="none" w:pos="9360"/>
      </w:tabs>
      <w:bidi w:val="0"/>
      <w:spacing w:before="0" w:beforeAutospacing="off" w:after="0" w:afterAutospacing="off" w:line="240" w:lineRule="auto"/>
      <w:ind w:left="0" w:right="0"/>
      <w:jc w:val="right"/>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pl"/>
      </w:rPr>
    </w:pPr>
    <w:r w:rsidR="72CD9659">
      <w:drawing>
        <wp:inline wp14:editId="153734D2" wp14:anchorId="2AB1359C">
          <wp:extent cx="1390650" cy="257175"/>
          <wp:effectExtent l="0" t="0" r="0" b="0"/>
          <wp:docPr id="166809782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68097825" name="Picture 1668097825"/>
                  <pic:cNvPicPr/>
                </pic:nvPicPr>
                <pic:blipFill>
                  <a:blip xmlns:r="http://schemas.openxmlformats.org/officeDocument/2006/relationships" r:embed="rId2087149888">
                    <a:extLst>
                      <a:ext uri="{28A0092B-C50C-407E-A947-70E740481C1C}">
                        <a14:useLocalDpi xmlns:a14="http://schemas.microsoft.com/office/drawing/2010/main"/>
                      </a:ext>
                    </a:extLst>
                  </a:blip>
                  <a:stretch>
                    <a:fillRect/>
                  </a:stretch>
                </pic:blipFill>
                <pic:spPr>
                  <a:xfrm>
                    <a:off x="0" y="0"/>
                    <a:ext cx="1390650" cy="257175"/>
                  </a:xfrm>
                  <a:prstGeom prst="rect">
                    <a:avLst/>
                  </a:prstGeom>
                </pic:spPr>
              </pic:pic>
            </a:graphicData>
          </a:graphic>
        </wp:inline>
      </w:drawing>
    </w:r>
    <w:r w:rsidRPr="72CD9659" w:rsidR="72CD9659">
      <w:rPr>
        <w:rFonts w:ascii="Arial" w:hAnsi="Arial" w:eastAsia="Arial" w:cs="Arial"/>
        <w:b w:val="0"/>
        <w:bCs w:val="0"/>
        <w:i w:val="0"/>
        <w:iCs w:val="0"/>
        <w:caps w:val="0"/>
        <w:smallCaps w:val="0"/>
        <w:noProof w:val="0"/>
        <w:color w:val="000000" w:themeColor="text1" w:themeTint="FF" w:themeShade="FF"/>
        <w:sz w:val="20"/>
        <w:szCs w:val="20"/>
        <w:lang w:val="pl"/>
      </w:rPr>
      <w:t xml:space="preserve">  </w:t>
    </w:r>
    <w:r w:rsidR="72CD9659">
      <w:drawing>
        <wp:inline wp14:editId="6800CFD5" wp14:anchorId="49B1C150">
          <wp:extent cx="342900" cy="257175"/>
          <wp:effectExtent l="0" t="0" r="0" b="0"/>
          <wp:docPr id="68642401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6424019" name="Picture 686424019"/>
                  <pic:cNvPicPr/>
                </pic:nvPicPr>
                <pic:blipFill>
                  <a:blip xmlns:r="http://schemas.openxmlformats.org/officeDocument/2006/relationships" r:embed="rId1821314867">
                    <a:extLst>
                      <a:ext uri="{28A0092B-C50C-407E-A947-70E740481C1C}">
                        <a14:useLocalDpi xmlns:a14="http://schemas.microsoft.com/office/drawing/2010/main"/>
                      </a:ext>
                    </a:extLst>
                  </a:blip>
                  <a:stretch>
                    <a:fillRect/>
                  </a:stretch>
                </pic:blipFill>
                <pic:spPr>
                  <a:xfrm>
                    <a:off x="0" y="0"/>
                    <a:ext cx="342900" cy="257175"/>
                  </a:xfrm>
                  <a:prstGeom prst="rect">
                    <a:avLst/>
                  </a:prstGeom>
                </pic:spPr>
              </pic:pic>
            </a:graphicData>
          </a:graphic>
        </wp:inline>
      </w:drawing>
    </w:r>
    <w:r w:rsidRPr="72CD9659" w:rsidR="72CD9659">
      <w:rPr>
        <w:rFonts w:ascii="Calibri" w:hAnsi="Calibri" w:eastAsia="Calibri" w:cs="Calibri"/>
        <w:b w:val="0"/>
        <w:bCs w:val="0"/>
        <w:i w:val="0"/>
        <w:iCs w:val="0"/>
        <w:caps w:val="0"/>
        <w:smallCaps w:val="0"/>
        <w:strike w:val="0"/>
        <w:dstrike w:val="0"/>
        <w:noProof w:val="0"/>
        <w:color w:val="000000" w:themeColor="text1" w:themeTint="FF" w:themeShade="FF"/>
        <w:sz w:val="20"/>
        <w:szCs w:val="20"/>
        <w:u w:val="none"/>
        <w:lang w:val="pl"/>
      </w:rPr>
      <w:t xml:space="preserve">    </w:t>
    </w:r>
    <w:r w:rsidR="72CD9659">
      <w:drawing>
        <wp:inline wp14:editId="03C2C92E" wp14:anchorId="70AB2472">
          <wp:extent cx="200025" cy="247650"/>
          <wp:effectExtent l="0" t="0" r="0" b="0"/>
          <wp:docPr id="95165063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951650636" name="Picture 951650636"/>
                  <pic:cNvPicPr/>
                </pic:nvPicPr>
                <pic:blipFill>
                  <a:blip xmlns:r="http://schemas.openxmlformats.org/officeDocument/2006/relationships" r:embed="rId2128633659">
                    <a:extLst>
                      <a:ext uri="{28A0092B-C50C-407E-A947-70E740481C1C}">
                        <a14:useLocalDpi xmlns:a14="http://schemas.microsoft.com/office/drawing/2010/main"/>
                      </a:ext>
                    </a:extLst>
                  </a:blip>
                  <a:stretch>
                    <a:fillRect/>
                  </a:stretch>
                </pic:blipFill>
                <pic:spPr>
                  <a:xfrm>
                    <a:off x="0" y="0"/>
                    <a:ext cx="200025" cy="247650"/>
                  </a:xfrm>
                  <a:prstGeom prst="rect">
                    <a:avLst/>
                  </a:prstGeom>
                </pic:spPr>
              </pic:pic>
            </a:graphicData>
          </a:graphic>
        </wp:inline>
      </w:drawing>
    </w:r>
    <w:r>
      <w:br/>
    </w:r>
  </w:p>
  <w:p w:rsidR="16956DD7" w:rsidP="16956DD7" w:rsidRDefault="16956DD7" w14:paraId="4370BE9C" w14:textId="282A4B06">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17">
    <w:nsid w:val="45fcbbf9"/>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6">
    <w:nsid w:val="622bd13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5">
    <w:nsid w:val="4025764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4">
    <w:nsid w:val="76a2f72"/>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3">
    <w:nsid w:val="4bd884e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6729db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a266463"/>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2103b0b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e6288c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d66dd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13c69d1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5829faa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3B8388F"/>
    <w:multiLevelType w:val="multilevel"/>
    <w:tmpl w:val="FFFFFFFF"/>
    <w:lvl w:ilvl="0">
      <w:start w:val="1"/>
      <w:numFmt w:val="decimal"/>
      <w:pStyle w:val="ListBullet3"/>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1" w15:restartNumberingAfterBreak="0">
    <w:nsid w:val="10631E09"/>
    <w:multiLevelType w:val="multilevel"/>
    <w:tmpl w:val="FFFFFFFF"/>
    <w:lvl w:ilvl="0">
      <w:start w:val="1"/>
      <w:numFmt w:val="decimal"/>
      <w:pStyle w:val="ListNumber2"/>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2" w15:restartNumberingAfterBreak="0">
    <w:nsid w:val="24D2FB79"/>
    <w:multiLevelType w:val="multilevel"/>
    <w:tmpl w:val="FFFFFFFF"/>
    <w:lvl w:ilvl="0">
      <w:start w:val="1"/>
      <w:numFmt w:val="decimal"/>
      <w:pStyle w:val="ListBullet"/>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3" w15:restartNumberingAfterBreak="0">
    <w:nsid w:val="4A85943E"/>
    <w:multiLevelType w:val="multilevel"/>
    <w:tmpl w:val="FFFFFFFF"/>
    <w:lvl w:ilvl="0">
      <w:start w:val="1"/>
      <w:numFmt w:val="decimal"/>
      <w:pStyle w:val="ListBullet2"/>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4" w15:restartNumberingAfterBreak="0">
    <w:nsid w:val="52A2E0E4"/>
    <w:multiLevelType w:val="multilevel"/>
    <w:tmpl w:val="FFFFFFFF"/>
    <w:lvl w:ilvl="0">
      <w:start w:val="1"/>
      <w:numFmt w:val="decimal"/>
      <w:pStyle w:val="ListNumber3"/>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abstractNum w:abstractNumId="5" w15:restartNumberingAfterBreak="0">
    <w:nsid w:val="5BA6E5F7"/>
    <w:multiLevelType w:val="multilevel"/>
    <w:tmpl w:val="FFFFFFFF"/>
    <w:lvl w:ilvl="0">
      <w:start w:val="1"/>
      <w:numFmt w:val="decimal"/>
      <w:pStyle w:val="ListNumber"/>
      <w:lvlText w:val="%1."/>
      <w:lvlJc w:val="left"/>
      <w:pPr>
        <w:ind w:left="720" w:hanging="720"/>
      </w:pPr>
    </w:lvl>
    <w:lvl w:ilvl="1">
      <w:start w:val="1"/>
      <w:numFmt w:val="decimal"/>
      <w:lvlText w:val="%2."/>
      <w:lvlJc w:val="left"/>
      <w:pPr>
        <w:ind w:left="1440" w:hanging="720"/>
      </w:pPr>
    </w:lvl>
    <w:lvl w:ilvl="2">
      <w:start w:val="1"/>
      <w:numFmt w:val="decimal"/>
      <w:lvlText w:val="%3."/>
      <w:lvlJc w:val="left"/>
      <w:pPr>
        <w:ind w:left="2160" w:hanging="720"/>
      </w:pPr>
    </w:lvl>
    <w:lvl w:ilvl="3">
      <w:start w:val="1"/>
      <w:numFmt w:val="decimal"/>
      <w:lvlText w:val="%4."/>
      <w:lvlJc w:val="left"/>
      <w:pPr>
        <w:ind w:left="2880" w:hanging="720"/>
      </w:pPr>
    </w:lvl>
    <w:lvl w:ilvl="4">
      <w:start w:val="1"/>
      <w:numFmt w:val="decimal"/>
      <w:lvlText w:val="%5."/>
      <w:lvlJc w:val="left"/>
      <w:pPr>
        <w:ind w:left="3600" w:hanging="720"/>
      </w:pPr>
    </w:lvl>
    <w:lvl w:ilvl="5">
      <w:start w:val="1"/>
      <w:numFmt w:val="decimal"/>
      <w:lvlText w:val="%6."/>
      <w:lvlJc w:val="left"/>
      <w:pPr>
        <w:ind w:left="4320" w:hanging="720"/>
      </w:pPr>
    </w:lvl>
    <w:lvl w:ilvl="6">
      <w:start w:val="1"/>
      <w:numFmt w:val="decimal"/>
      <w:lvlText w:val="%7."/>
      <w:lvlJc w:val="left"/>
      <w:pPr>
        <w:ind w:left="5040" w:hanging="720"/>
      </w:pPr>
    </w:lvl>
    <w:lvl w:ilvl="7">
      <w:start w:val="1"/>
      <w:numFmt w:val="decimal"/>
      <w:lvlText w:val="%8."/>
      <w:lvlJc w:val="left"/>
      <w:pPr>
        <w:ind w:left="5760" w:hanging="720"/>
      </w:pPr>
    </w:lvl>
    <w:lvl w:ilvl="8">
      <w:start w:val="1"/>
      <w:numFmt w:val="decimal"/>
      <w:lvlText w:val="%9."/>
      <w:lvlJc w:val="left"/>
      <w:pPr>
        <w:ind w:left="6480" w:hanging="720"/>
      </w:pPr>
    </w:lvl>
  </w:abstract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1" w16cid:durableId="1156384785">
    <w:abstractNumId w:val="2"/>
  </w:num>
  <w:num w:numId="2" w16cid:durableId="473260719">
    <w:abstractNumId w:val="3"/>
  </w:num>
  <w:num w:numId="3" w16cid:durableId="1593002661">
    <w:abstractNumId w:val="0"/>
  </w:num>
  <w:num w:numId="4" w16cid:durableId="2024741754">
    <w:abstractNumId w:val="5"/>
  </w:num>
  <w:num w:numId="5" w16cid:durableId="849956221">
    <w:abstractNumId w:val="1"/>
  </w:num>
  <w:num w:numId="6" w16cid:durableId="7414104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embedTrueTypeFonts/>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EA5"/>
    <w:rsid w:val="00352EA5"/>
    <w:rsid w:val="0041212B"/>
    <w:rsid w:val="0088507D"/>
    <w:rsid w:val="01C55F78"/>
    <w:rsid w:val="07AF44C7"/>
    <w:rsid w:val="0A3F03D6"/>
    <w:rsid w:val="0D1320FE"/>
    <w:rsid w:val="0D195A37"/>
    <w:rsid w:val="0FE7660B"/>
    <w:rsid w:val="0FEDDDA1"/>
    <w:rsid w:val="12C71E26"/>
    <w:rsid w:val="162D5FED"/>
    <w:rsid w:val="16956DD7"/>
    <w:rsid w:val="17A45397"/>
    <w:rsid w:val="18CC8F11"/>
    <w:rsid w:val="1A9EB73D"/>
    <w:rsid w:val="1F138B72"/>
    <w:rsid w:val="2982C279"/>
    <w:rsid w:val="29DF11C0"/>
    <w:rsid w:val="2CA997D4"/>
    <w:rsid w:val="37754DBA"/>
    <w:rsid w:val="3CF8D21A"/>
    <w:rsid w:val="3F0A73EB"/>
    <w:rsid w:val="416BA9FA"/>
    <w:rsid w:val="42A6A60B"/>
    <w:rsid w:val="437A6CAD"/>
    <w:rsid w:val="43CA7B4D"/>
    <w:rsid w:val="451AEEF0"/>
    <w:rsid w:val="460E62FC"/>
    <w:rsid w:val="4929B456"/>
    <w:rsid w:val="4A3E26BB"/>
    <w:rsid w:val="4C47A0E2"/>
    <w:rsid w:val="4FBFD873"/>
    <w:rsid w:val="52CBD6A3"/>
    <w:rsid w:val="597392DC"/>
    <w:rsid w:val="5EE85822"/>
    <w:rsid w:val="5F587997"/>
    <w:rsid w:val="60C17590"/>
    <w:rsid w:val="6381AA35"/>
    <w:rsid w:val="64BEC33B"/>
    <w:rsid w:val="68C22773"/>
    <w:rsid w:val="695FC3F6"/>
    <w:rsid w:val="69C198D9"/>
    <w:rsid w:val="6D743D22"/>
    <w:rsid w:val="71898CC9"/>
    <w:rsid w:val="72CD9659"/>
    <w:rsid w:val="764302AB"/>
    <w:rsid w:val="77D8A223"/>
    <w:rsid w:val="7BC96FA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1F20CCB8"/>
  <w15:docId w15:val="{3F54EC45-27A9-47FD-8559-613C5EE5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Arial" w:cs="Arial"/>
        <w:lang w:val="pl"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0"/>
      <w:outlineLvl w:val="0"/>
    </w:pPr>
    <w:rPr>
      <w:rFonts w:ascii="Calibri" w:hAnsi="Calibri" w:eastAsia="Calibri" w:cs="Calibri"/>
      <w:b/>
      <w:bCs/>
      <w:color w:val="366091"/>
      <w:sz w:val="26"/>
      <w:szCs w:val="26"/>
    </w:rPr>
  </w:style>
  <w:style w:type="paragraph" w:styleId="Heading2">
    <w:name w:val="heading 2"/>
    <w:basedOn w:val="Normal"/>
    <w:next w:val="Normal"/>
    <w:uiPriority w:val="9"/>
    <w:semiHidden/>
    <w:unhideWhenUsed/>
    <w:qFormat/>
    <w:pPr>
      <w:keepNext/>
      <w:keepLines/>
      <w:spacing w:before="200" w:after="0"/>
      <w:outlineLvl w:val="1"/>
    </w:pPr>
    <w:rPr>
      <w:rFonts w:ascii="Calibri" w:hAnsi="Calibri" w:eastAsia="Calibri" w:cs="Calibri"/>
      <w:b/>
      <w:bCs/>
      <w:color w:val="4F81BD"/>
      <w:sz w:val="22"/>
      <w:szCs w:val="22"/>
    </w:rPr>
  </w:style>
  <w:style w:type="paragraph" w:styleId="Heading3">
    <w:name w:val="heading 3"/>
    <w:basedOn w:val="Normal"/>
    <w:next w:val="Normal"/>
    <w:uiPriority w:val="9"/>
    <w:semiHidden/>
    <w:unhideWhenUsed/>
    <w:qFormat/>
    <w:pPr>
      <w:keepNext/>
      <w:keepLines/>
      <w:spacing w:before="200" w:after="0"/>
      <w:outlineLvl w:val="2"/>
    </w:pPr>
    <w:rPr>
      <w:rFonts w:ascii="Calibri" w:hAnsi="Calibri" w:eastAsia="Calibri" w:cs="Calibri"/>
      <w:b/>
      <w:bCs/>
      <w:color w:val="4F81BD"/>
    </w:rPr>
  </w:style>
  <w:style w:type="paragraph" w:styleId="Heading4">
    <w:name w:val="heading 4"/>
    <w:basedOn w:val="Normal"/>
    <w:next w:val="Normal"/>
    <w:uiPriority w:val="9"/>
    <w:semiHidden/>
    <w:unhideWhenUsed/>
    <w:qFormat/>
    <w:pPr>
      <w:keepNext/>
      <w:keepLines/>
      <w:spacing w:before="200" w:after="0"/>
      <w:outlineLvl w:val="3"/>
    </w:pPr>
    <w:rPr>
      <w:rFonts w:ascii="Calibri" w:hAnsi="Calibri" w:eastAsia="Calibri" w:cs="Calibri"/>
      <w:b/>
      <w:bCs/>
      <w:i/>
      <w:iCs/>
      <w:color w:val="4F81BD"/>
    </w:rPr>
  </w:style>
  <w:style w:type="paragraph" w:styleId="Heading5">
    <w:name w:val="heading 5"/>
    <w:basedOn w:val="Normal"/>
    <w:next w:val="Normal"/>
    <w:uiPriority w:val="9"/>
    <w:semiHidden/>
    <w:unhideWhenUsed/>
    <w:qFormat/>
    <w:pPr>
      <w:keepNext/>
      <w:keepLines/>
      <w:spacing w:before="200" w:after="0"/>
      <w:outlineLvl w:val="4"/>
    </w:pPr>
    <w:rPr>
      <w:rFonts w:ascii="Calibri" w:hAnsi="Calibri" w:eastAsia="Calibri" w:cs="Calibri"/>
      <w:color w:val="243F60"/>
    </w:rPr>
  </w:style>
  <w:style w:type="paragraph" w:styleId="Heading6">
    <w:name w:val="heading 6"/>
    <w:basedOn w:val="Normal"/>
    <w:next w:val="Normal"/>
    <w:uiPriority w:val="9"/>
    <w:semiHidden/>
    <w:unhideWhenUsed/>
    <w:qFormat/>
    <w:pPr>
      <w:keepNext/>
      <w:keepLines/>
      <w:spacing w:before="200" w:after="0"/>
      <w:outlineLvl w:val="5"/>
    </w:pPr>
    <w:rPr>
      <w:rFonts w:ascii="Calibri" w:hAnsi="Calibri" w:eastAsia="Calibri" w:cs="Calibri"/>
      <w:i/>
      <w:iCs/>
      <w:color w:val="243F60"/>
    </w:rPr>
  </w:style>
  <w:style w:type="paragraph" w:styleId="Heading7">
    <w:name w:val="heading 7"/>
    <w:link w:val="Heading7Char"/>
    <w:uiPriority w:val="9"/>
    <w:semiHidden/>
    <w:unhideWhenUsed/>
    <w:qFormat/>
    <w:rsid w:val="6162CD09"/>
    <w:pPr>
      <w:keepNext/>
      <w:keepLines/>
      <w:spacing w:before="200" w:after="0"/>
      <w:outlineLvl w:val="6"/>
    </w:pPr>
    <w:rPr>
      <w:rFonts w:asciiTheme="majorHAnsi" w:hAnsiTheme="majorHAnsi" w:eastAsiaTheme="majorEastAsia" w:cstheme="majorBidi"/>
      <w:i/>
      <w:iCs/>
      <w:color w:val="404040" w:themeColor="text1" w:themeTint="BF"/>
    </w:rPr>
  </w:style>
  <w:style w:type="paragraph" w:styleId="Heading8">
    <w:name w:val="heading 8"/>
    <w:link w:val="Heading8Char"/>
    <w:uiPriority w:val="9"/>
    <w:semiHidden/>
    <w:unhideWhenUsed/>
    <w:qFormat/>
    <w:rsid w:val="6162CD09"/>
    <w:pPr>
      <w:keepNext/>
      <w:keepLines/>
      <w:spacing w:before="200" w:after="0"/>
      <w:outlineLvl w:val="7"/>
    </w:pPr>
    <w:rPr>
      <w:rFonts w:asciiTheme="majorHAnsi" w:hAnsiTheme="majorHAnsi" w:eastAsiaTheme="majorEastAsia" w:cstheme="majorBidi"/>
      <w:color w:val="4F81BD" w:themeColor="accent1"/>
    </w:rPr>
  </w:style>
  <w:style w:type="paragraph" w:styleId="Heading9">
    <w:name w:val="heading 9"/>
    <w:link w:val="Heading9Char"/>
    <w:uiPriority w:val="9"/>
    <w:semiHidden/>
    <w:unhideWhenUsed/>
    <w:qFormat/>
    <w:rsid w:val="6162CD09"/>
    <w:pPr>
      <w:keepNext/>
      <w:keepLines/>
      <w:spacing w:before="200" w:after="0"/>
      <w:outlineLvl w:val="8"/>
    </w:pPr>
    <w:rPr>
      <w:rFonts w:asciiTheme="majorHAnsi" w:hAnsiTheme="majorHAnsi" w:eastAsiaTheme="majorEastAsia" w:cstheme="majorBidi"/>
      <w:i/>
      <w:iCs/>
      <w:color w:val="404040" w:themeColor="text1" w:themeTint="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pBdr>
        <w:bottom w:val="single" w:color="4F81BD" w:sz="8" w:space="4"/>
      </w:pBdr>
      <w:spacing w:after="300" w:line="240" w:lineRule="auto"/>
    </w:pPr>
    <w:rPr>
      <w:rFonts w:ascii="Calibri" w:hAnsi="Calibri" w:eastAsia="Calibri" w:cs="Calibri"/>
      <w:b/>
      <w:bCs/>
      <w:color w:val="17365D"/>
      <w:sz w:val="32"/>
      <w:szCs w:val="32"/>
    </w:rPr>
  </w:style>
  <w:style w:type="table" w:styleId="NormalTable0" w:customStyle="1">
    <w:name w:val="Normal Table0"/>
    <w:uiPriority w:val="99"/>
    <w:semiHidden/>
    <w:unhideWhenUsed/>
    <w:tblPr>
      <w:tblInd w:w="0" w:type="dxa"/>
      <w:tblCellMar>
        <w:top w:w="0" w:type="dxa"/>
        <w:left w:w="108" w:type="dxa"/>
        <w:bottom w:w="0" w:type="dxa"/>
        <w:right w:w="108" w:type="dxa"/>
      </w:tblCellMar>
    </w:tblPr>
  </w:style>
  <w:style w:type="paragraph" w:styleId="Header">
    <w:name w:val="header"/>
    <w:link w:val="HeaderChar"/>
    <w:uiPriority w:val="99"/>
    <w:unhideWhenUsed/>
    <w:rsid w:val="6162CD09"/>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link w:val="FooterChar"/>
    <w:uiPriority w:val="99"/>
    <w:unhideWhenUsed/>
    <w:rsid w:val="6162CD09"/>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styleId="Nagwek1Znak" w:customStyle="1">
    <w:name w:val="Nagłówek 1 Znak"/>
    <w:basedOn w:val="DefaultParagraphFont"/>
    <w:uiPriority w:val="9"/>
    <w:rsid w:val="00FC693F"/>
    <w:rPr>
      <w:rFonts w:asciiTheme="majorHAnsi" w:hAnsiTheme="majorHAnsi" w:eastAsiaTheme="majorEastAsia" w:cstheme="majorBidi"/>
      <w:b/>
      <w:bCs/>
      <w:color w:val="365F91" w:themeColor="accent1" w:themeShade="BF"/>
      <w:sz w:val="28"/>
      <w:szCs w:val="28"/>
    </w:rPr>
  </w:style>
  <w:style w:type="character" w:styleId="Nagwek2Znak" w:customStyle="1">
    <w:name w:val="Nagłówek 2 Znak"/>
    <w:basedOn w:val="DefaultParagraphFont"/>
    <w:uiPriority w:val="9"/>
    <w:rsid w:val="00FC693F"/>
    <w:rPr>
      <w:rFonts w:asciiTheme="majorHAnsi" w:hAnsiTheme="majorHAnsi" w:eastAsiaTheme="majorEastAsia" w:cstheme="majorBidi"/>
      <w:b/>
      <w:bCs/>
      <w:color w:val="4F81BD" w:themeColor="accent1"/>
      <w:sz w:val="26"/>
      <w:szCs w:val="26"/>
    </w:rPr>
  </w:style>
  <w:style w:type="character" w:styleId="Nagwek3Znak" w:customStyle="1">
    <w:name w:val="Nagłówek 3 Znak"/>
    <w:basedOn w:val="DefaultParagraphFont"/>
    <w:uiPriority w:val="9"/>
    <w:rsid w:val="00FC693F"/>
    <w:rPr>
      <w:rFonts w:asciiTheme="majorHAnsi" w:hAnsiTheme="majorHAnsi" w:eastAsiaTheme="majorEastAsia" w:cstheme="majorBidi"/>
      <w:b/>
      <w:bCs/>
      <w:color w:val="4F81BD" w:themeColor="accent1"/>
    </w:rPr>
  </w:style>
  <w:style w:type="character" w:styleId="TytuZnak" w:customStyle="1">
    <w:name w:val="Tytuł Znak"/>
    <w:basedOn w:val="DefaultParagraphFont"/>
    <w:uiPriority w:val="10"/>
    <w:rsid w:val="00FC693F"/>
    <w:rPr>
      <w:rFonts w:asciiTheme="majorHAnsi" w:hAnsiTheme="majorHAnsi" w:eastAsiaTheme="majorEastAsia" w:cstheme="majorBidi"/>
      <w:color w:val="17365D" w:themeColor="text2" w:themeShade="BF"/>
      <w:spacing w:val="5"/>
      <w:kern w:val="28"/>
      <w:sz w:val="52"/>
      <w:szCs w:val="52"/>
    </w:rPr>
  </w:style>
  <w:style w:type="character" w:styleId="PodtytuZnak" w:customStyle="1">
    <w:name w:val="Podtytuł Znak"/>
    <w:basedOn w:val="DefaultParagraphFont"/>
    <w:uiPriority w:val="11"/>
    <w:rsid w:val="00FC693F"/>
    <w:rPr>
      <w:rFonts w:asciiTheme="majorHAnsi" w:hAnsiTheme="majorHAnsi" w:eastAsiaTheme="majorEastAsia" w:cstheme="majorBidi"/>
      <w:i/>
      <w:iCs/>
      <w:color w:val="4F81BD" w:themeColor="accent1"/>
      <w:spacing w:val="15"/>
      <w:sz w:val="24"/>
      <w:szCs w:val="24"/>
    </w:rPr>
  </w:style>
  <w:style w:type="paragraph" w:styleId="ListParagraph">
    <w:name w:val="List Paragraph"/>
    <w:uiPriority w:val="34"/>
    <w:qFormat/>
    <w:rsid w:val="6162CD09"/>
    <w:pPr>
      <w:ind w:left="720"/>
      <w:contextualSpacing/>
    </w:pPr>
  </w:style>
  <w:style w:type="paragraph" w:styleId="BodyText">
    <w:name w:val="Body Text"/>
    <w:link w:val="BodyTextChar"/>
    <w:uiPriority w:val="99"/>
    <w:unhideWhenUsed/>
    <w:rsid w:val="6162CD09"/>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link w:val="BodyText2Char"/>
    <w:uiPriority w:val="99"/>
    <w:unhideWhenUsed/>
    <w:rsid w:val="6162CD09"/>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link w:val="BodyText3Char"/>
    <w:uiPriority w:val="99"/>
    <w:unhideWhenUsed/>
    <w:rsid w:val="6162CD09"/>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uiPriority w:val="99"/>
    <w:unhideWhenUsed/>
    <w:rsid w:val="6162CD09"/>
    <w:pPr>
      <w:ind w:left="360" w:hanging="360"/>
      <w:contextualSpacing/>
    </w:pPr>
  </w:style>
  <w:style w:type="paragraph" w:styleId="List2">
    <w:name w:val="List 2"/>
    <w:uiPriority w:val="99"/>
    <w:unhideWhenUsed/>
    <w:rsid w:val="6162CD09"/>
    <w:pPr>
      <w:ind w:left="720" w:hanging="360"/>
      <w:contextualSpacing/>
    </w:pPr>
  </w:style>
  <w:style w:type="paragraph" w:styleId="List3">
    <w:name w:val="List 3"/>
    <w:uiPriority w:val="99"/>
    <w:unhideWhenUsed/>
    <w:rsid w:val="6162CD09"/>
    <w:pPr>
      <w:ind w:left="1080" w:hanging="360"/>
      <w:contextualSpacing/>
    </w:pPr>
  </w:style>
  <w:style w:type="paragraph" w:styleId="ListBullet">
    <w:name w:val="List Bullet"/>
    <w:uiPriority w:val="99"/>
    <w:unhideWhenUsed/>
    <w:rsid w:val="6162CD09"/>
    <w:pPr>
      <w:numPr>
        <w:numId w:val="1"/>
      </w:numPr>
      <w:contextualSpacing/>
    </w:pPr>
  </w:style>
  <w:style w:type="paragraph" w:styleId="ListBullet2">
    <w:name w:val="List Bullet 2"/>
    <w:uiPriority w:val="99"/>
    <w:unhideWhenUsed/>
    <w:rsid w:val="6162CD09"/>
    <w:pPr>
      <w:numPr>
        <w:numId w:val="2"/>
      </w:numPr>
      <w:contextualSpacing/>
    </w:pPr>
  </w:style>
  <w:style w:type="paragraph" w:styleId="ListBullet3">
    <w:name w:val="List Bullet 3"/>
    <w:uiPriority w:val="99"/>
    <w:unhideWhenUsed/>
    <w:rsid w:val="6162CD09"/>
    <w:pPr>
      <w:numPr>
        <w:numId w:val="3"/>
      </w:numPr>
      <w:contextualSpacing/>
    </w:pPr>
  </w:style>
  <w:style w:type="paragraph" w:styleId="ListNumber">
    <w:name w:val="List Number"/>
    <w:uiPriority w:val="99"/>
    <w:unhideWhenUsed/>
    <w:rsid w:val="6162CD09"/>
    <w:pPr>
      <w:numPr>
        <w:numId w:val="4"/>
      </w:numPr>
      <w:contextualSpacing/>
    </w:pPr>
  </w:style>
  <w:style w:type="paragraph" w:styleId="ListNumber2">
    <w:name w:val="List Number 2"/>
    <w:uiPriority w:val="99"/>
    <w:unhideWhenUsed/>
    <w:rsid w:val="6162CD09"/>
    <w:pPr>
      <w:numPr>
        <w:numId w:val="5"/>
      </w:numPr>
      <w:contextualSpacing/>
    </w:pPr>
  </w:style>
  <w:style w:type="paragraph" w:styleId="ListNumber3">
    <w:name w:val="List Number 3"/>
    <w:uiPriority w:val="99"/>
    <w:unhideWhenUsed/>
    <w:rsid w:val="6162CD09"/>
    <w:pPr>
      <w:numPr>
        <w:numId w:val="6"/>
      </w:numPr>
      <w:contextualSpacing/>
    </w:pPr>
  </w:style>
  <w:style w:type="paragraph" w:styleId="ListContinue">
    <w:name w:val="List Continue"/>
    <w:uiPriority w:val="99"/>
    <w:unhideWhenUsed/>
    <w:rsid w:val="6162CD09"/>
    <w:pPr>
      <w:spacing w:after="120"/>
      <w:ind w:left="360"/>
      <w:contextualSpacing/>
    </w:pPr>
  </w:style>
  <w:style w:type="paragraph" w:styleId="ListContinue2">
    <w:name w:val="List Continue 2"/>
    <w:uiPriority w:val="99"/>
    <w:unhideWhenUsed/>
    <w:rsid w:val="6162CD09"/>
    <w:pPr>
      <w:spacing w:after="120"/>
      <w:ind w:left="720"/>
      <w:contextualSpacing/>
    </w:pPr>
  </w:style>
  <w:style w:type="paragraph" w:styleId="ListContinue3">
    <w:name w:val="List Continue 3"/>
    <w:uiPriority w:val="99"/>
    <w:unhideWhenUsed/>
    <w:rsid w:val="6162CD09"/>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link w:val="QuoteChar"/>
    <w:uiPriority w:val="29"/>
    <w:qFormat/>
    <w:rsid w:val="6162CD09"/>
    <w:rPr>
      <w:i/>
      <w:iCs/>
      <w:color w:val="000000" w:themeColor="text1"/>
    </w:rPr>
  </w:style>
  <w:style w:type="character" w:styleId="QuoteChar" w:customStyle="1">
    <w:name w:val="Quote Char"/>
    <w:basedOn w:val="DefaultParagraphFont"/>
    <w:link w:val="Quote"/>
    <w:uiPriority w:val="29"/>
    <w:rsid w:val="00FC693F"/>
    <w:rPr>
      <w:i/>
      <w:iCs/>
      <w:color w:val="000000" w:themeColor="text1"/>
    </w:rPr>
  </w:style>
  <w:style w:type="character" w:styleId="Nagwek4Znak" w:customStyle="1">
    <w:name w:val="Nagłówek 4 Znak"/>
    <w:basedOn w:val="DefaultParagraphFont"/>
    <w:uiPriority w:val="9"/>
    <w:semiHidden/>
    <w:rsid w:val="00FC693F"/>
    <w:rPr>
      <w:rFonts w:asciiTheme="majorHAnsi" w:hAnsiTheme="majorHAnsi" w:eastAsiaTheme="majorEastAsia" w:cstheme="majorBidi"/>
      <w:b/>
      <w:bCs/>
      <w:i/>
      <w:iCs/>
      <w:color w:val="4F81BD" w:themeColor="accent1"/>
    </w:rPr>
  </w:style>
  <w:style w:type="character" w:styleId="Nagwek5Znak" w:customStyle="1">
    <w:name w:val="Nagłówek 5 Znak"/>
    <w:basedOn w:val="DefaultParagraphFont"/>
    <w:uiPriority w:val="9"/>
    <w:semiHidden/>
    <w:rsid w:val="00FC693F"/>
    <w:rPr>
      <w:rFonts w:asciiTheme="majorHAnsi" w:hAnsiTheme="majorHAnsi" w:eastAsiaTheme="majorEastAsia" w:cstheme="majorBidi"/>
      <w:color w:val="243F60" w:themeColor="accent1" w:themeShade="7F"/>
    </w:rPr>
  </w:style>
  <w:style w:type="character" w:styleId="Nagwek6Znak" w:customStyle="1">
    <w:name w:val="Nagłówek 6 Znak"/>
    <w:basedOn w:val="DefaultParagraphFont"/>
    <w:uiPriority w:val="9"/>
    <w:semiHidden/>
    <w:rsid w:val="00FC693F"/>
    <w:rPr>
      <w:rFonts w:asciiTheme="majorHAnsi" w:hAnsiTheme="majorHAnsi" w:eastAsiaTheme="majorEastAsia" w:cstheme="majorBidi"/>
      <w:i/>
      <w:iCs/>
      <w:color w:val="243F60" w:themeColor="accent1" w:themeShade="7F"/>
    </w:rPr>
  </w:style>
  <w:style w:type="character" w:styleId="Heading7Char" w:customStyle="1">
    <w:name w:val="Heading 7 Char"/>
    <w:basedOn w:val="DefaultParagraphFont"/>
    <w:link w:val="Heading7"/>
    <w:uiPriority w:val="9"/>
    <w:semiHidden/>
    <w:rsid w:val="00FC693F"/>
    <w:rPr>
      <w:rFonts w:asciiTheme="majorHAnsi" w:hAnsiTheme="majorHAnsi" w:eastAsiaTheme="majorEastAsia" w:cstheme="majorBidi"/>
      <w:i/>
      <w:iCs/>
      <w:color w:val="404040" w:themeColor="text1" w:themeTint="BF"/>
    </w:rPr>
  </w:style>
  <w:style w:type="character" w:styleId="Heading8Char" w:customStyle="1">
    <w:name w:val="Heading 8 Char"/>
    <w:basedOn w:val="DefaultParagraphFont"/>
    <w:link w:val="Heading8"/>
    <w:uiPriority w:val="9"/>
    <w:semiHidden/>
    <w:rsid w:val="00FC693F"/>
    <w:rPr>
      <w:rFonts w:asciiTheme="majorHAnsi" w:hAnsiTheme="majorHAnsi" w:eastAsiaTheme="majorEastAsia" w:cstheme="majorBidi"/>
      <w:color w:val="4F81BD" w:themeColor="accent1"/>
      <w:sz w:val="20"/>
      <w:szCs w:val="20"/>
    </w:rPr>
  </w:style>
  <w:style w:type="character" w:styleId="Heading9Char" w:customStyle="1">
    <w:name w:val="Heading 9 Char"/>
    <w:basedOn w:val="DefaultParagraphFont"/>
    <w:link w:val="Heading9"/>
    <w:uiPriority w:val="9"/>
    <w:semiHidden/>
    <w:rsid w:val="00FC693F"/>
    <w:rPr>
      <w:rFonts w:asciiTheme="majorHAnsi" w:hAnsiTheme="majorHAnsi" w:eastAsiaTheme="majorEastAsia" w:cstheme="majorBidi"/>
      <w:i/>
      <w:iCs/>
      <w:color w:val="404040" w:themeColor="text1" w:themeTint="BF"/>
      <w:sz w:val="20"/>
      <w:szCs w:val="20"/>
    </w:rPr>
  </w:style>
  <w:style w:type="paragraph" w:styleId="Caption">
    <w:name w:val="caption"/>
    <w:uiPriority w:val="35"/>
    <w:semiHidden/>
    <w:unhideWhenUsed/>
    <w:qFormat/>
    <w:rsid w:val="6162CD09"/>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link w:val="IntenseQuoteChar"/>
    <w:uiPriority w:val="30"/>
    <w:qFormat/>
    <w:rsid w:val="6162CD09"/>
    <w:pPr>
      <w:pBdr>
        <w:bottom w:val="single" w:color="4F81BD" w:themeColor="accent1" w:sz="4" w:space="4"/>
      </w:pBdr>
      <w:spacing w:before="200" w:after="280"/>
      <w:ind w:left="936" w:right="936"/>
    </w:pPr>
    <w:rPr>
      <w:b/>
      <w:bCs/>
      <w:i/>
      <w:iCs/>
      <w:color w:val="4F81BD" w:themeColor="accent1"/>
    </w:rPr>
  </w:style>
  <w:style w:type="character" w:styleId="IntenseQuoteChar" w:customStyle="1">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uiPriority w:val="39"/>
    <w:semiHidden/>
    <w:unhideWhenUsed/>
    <w:qFormat/>
    <w:rsid w:val="00FC693F"/>
  </w:style>
  <w:style w:type="table" w:styleId="TableGrid">
    <w:name w:val="Table Grid"/>
    <w:basedOn w:val="NormalTable0"/>
    <w:uiPriority w:val="59"/>
    <w:rsid w:val="00FC693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ghtShading">
    <w:name w:val="Light Shading"/>
    <w:basedOn w:val="NormalTable0"/>
    <w:uiPriority w:val="60"/>
    <w:rsid w:val="00FC693F"/>
    <w:pPr>
      <w:spacing w:after="0"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NormalTable0"/>
    <w:uiPriority w:val="60"/>
    <w:rsid w:val="00FC693F"/>
    <w:pPr>
      <w:spacing w:after="0" w:line="240" w:lineRule="auto"/>
    </w:pPr>
    <w:rPr>
      <w:color w:val="365F91" w:themeColor="accent1" w:themeShade="BF"/>
    </w:rPr>
    <w:tblPr>
      <w:tblStyleRowBandSize w:val="1"/>
      <w:tblStyleColBandSize w:val="1"/>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NormalTable0"/>
    <w:uiPriority w:val="60"/>
    <w:rsid w:val="00FC693F"/>
    <w:pPr>
      <w:spacing w:after="0" w:line="240" w:lineRule="auto"/>
    </w:pPr>
    <w:rPr>
      <w:color w:val="943634" w:themeColor="accent2" w:themeShade="BF"/>
    </w:rPr>
    <w:tblPr>
      <w:tblStyleRowBandSize w:val="1"/>
      <w:tblStyleColBandSize w:val="1"/>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NormalTable0"/>
    <w:uiPriority w:val="60"/>
    <w:rsid w:val="00FC693F"/>
    <w:pPr>
      <w:spacing w:after="0" w:line="240" w:lineRule="auto"/>
    </w:pPr>
    <w:rPr>
      <w:color w:val="76923C" w:themeColor="accent3" w:themeShade="BF"/>
    </w:rPr>
    <w:tblPr>
      <w:tblStyleRowBandSize w:val="1"/>
      <w:tblStyleColBandSize w:val="1"/>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NormalTable0"/>
    <w:uiPriority w:val="60"/>
    <w:rsid w:val="00FC693F"/>
    <w:pPr>
      <w:spacing w:after="0" w:line="240" w:lineRule="auto"/>
    </w:pPr>
    <w:rPr>
      <w:color w:val="5F497A" w:themeColor="accent4" w:themeShade="BF"/>
    </w:rPr>
    <w:tblPr>
      <w:tblStyleRowBandSize w:val="1"/>
      <w:tblStyleColBandSize w:val="1"/>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NormalTable0"/>
    <w:uiPriority w:val="60"/>
    <w:rsid w:val="00FC693F"/>
    <w:pPr>
      <w:spacing w:after="0" w:line="240" w:lineRule="auto"/>
    </w:pPr>
    <w:rPr>
      <w:color w:val="31849B" w:themeColor="accent5" w:themeShade="BF"/>
    </w:rPr>
    <w:tblPr>
      <w:tblStyleRowBandSize w:val="1"/>
      <w:tblStyleColBandSize w:val="1"/>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NormalTable0"/>
    <w:uiPriority w:val="60"/>
    <w:rsid w:val="00FC693F"/>
    <w:pPr>
      <w:spacing w:after="0" w:line="240" w:lineRule="auto"/>
    </w:pPr>
    <w:rPr>
      <w:color w:val="E36C0A" w:themeColor="accent6" w:themeShade="BF"/>
    </w:rPr>
    <w:tblPr>
      <w:tblStyleRowBandSize w:val="1"/>
      <w:tblStyleColBandSize w:val="1"/>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NormalTable0"/>
    <w:uiPriority w:val="61"/>
    <w:rsid w:val="00FC693F"/>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NormalTable0"/>
    <w:uiPriority w:val="61"/>
    <w:rsid w:val="00FC693F"/>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LightList-Accent2">
    <w:name w:val="Light List Accent 2"/>
    <w:basedOn w:val="NormalTable0"/>
    <w:uiPriority w:val="61"/>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LightList-Accent3">
    <w:name w:val="Light List Accent 3"/>
    <w:basedOn w:val="NormalTable0"/>
    <w:uiPriority w:val="61"/>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LightList-Accent4">
    <w:name w:val="Light List Accent 4"/>
    <w:basedOn w:val="NormalTable0"/>
    <w:uiPriority w:val="61"/>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LightList-Accent5">
    <w:name w:val="Light List Accent 5"/>
    <w:basedOn w:val="NormalTable0"/>
    <w:uiPriority w:val="61"/>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LightList-Accent6">
    <w:name w:val="Light List Accent 6"/>
    <w:basedOn w:val="NormalTable0"/>
    <w:uiPriority w:val="61"/>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LightGrid">
    <w:name w:val="Light Grid"/>
    <w:basedOn w:val="NormalTable0"/>
    <w:uiPriority w:val="62"/>
    <w:rsid w:val="00CB0664"/>
    <w:pPr>
      <w:spacing w:after="0"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NormalTable0"/>
    <w:uiPriority w:val="62"/>
    <w:rsid w:val="00CB0664"/>
    <w:pPr>
      <w:spacing w:after="0" w:line="240" w:lineRule="auto"/>
    </w:p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color="4F81BD"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color="4F81BD"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color="4F81BD" w:themeColor="accent1" w:sz="8" w:space="0"/>
        </w:tcBorders>
      </w:tcPr>
    </w:tblStylePr>
  </w:style>
  <w:style w:type="table" w:styleId="LightGrid-Accent2">
    <w:name w:val="Light Grid Accent 2"/>
    <w:basedOn w:val="NormalTable0"/>
    <w:uiPriority w:val="62"/>
    <w:rsid w:val="00CB0664"/>
    <w:pPr>
      <w:spacing w:after="0" w:line="240" w:lineRule="auto"/>
    </w:p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color="C0504D"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color="C0504D"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2"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shd w:val="clear" w:color="auto" w:fill="EFD3D2"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color="C0504D" w:themeColor="accent2" w:sz="8" w:space="0"/>
        </w:tcBorders>
      </w:tcPr>
    </w:tblStylePr>
  </w:style>
  <w:style w:type="table" w:styleId="LightGrid-Accent3">
    <w:name w:val="Light Grid Accent 3"/>
    <w:basedOn w:val="NormalTable0"/>
    <w:uiPriority w:val="62"/>
    <w:rsid w:val="00CB0664"/>
    <w:pPr>
      <w:spacing w:after="0" w:line="240" w:lineRule="auto"/>
    </w:p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color="9BBB59"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color="9BBB59"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color="9BBB59" w:themeColor="accent3" w:sz="8" w:space="0"/>
        </w:tcBorders>
      </w:tcPr>
    </w:tblStylePr>
  </w:style>
  <w:style w:type="table" w:styleId="LightGrid-Accent4">
    <w:name w:val="Light Grid Accent 4"/>
    <w:basedOn w:val="NormalTable0"/>
    <w:uiPriority w:val="62"/>
    <w:rsid w:val="00CB0664"/>
    <w:pPr>
      <w:spacing w:after="0" w:line="240" w:lineRule="auto"/>
    </w:p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color="8064A2"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color="8064A2"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color="8064A2" w:themeColor="accent4" w:sz="8" w:space="0"/>
        </w:tcBorders>
      </w:tcPr>
    </w:tblStylePr>
  </w:style>
  <w:style w:type="table" w:styleId="LightGrid-Accent5">
    <w:name w:val="Light Grid Accent 5"/>
    <w:basedOn w:val="NormalTable0"/>
    <w:uiPriority w:val="62"/>
    <w:rsid w:val="00CB0664"/>
    <w:pPr>
      <w:spacing w:after="0" w:line="240" w:lineRule="auto"/>
    </w:p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color="4BACC6"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color="4BACC6"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1"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shd w:val="clear" w:color="auto" w:fill="D2EAF1"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color="4BACC6" w:themeColor="accent5" w:sz="8" w:space="0"/>
        </w:tcBorders>
      </w:tcPr>
    </w:tblStylePr>
  </w:style>
  <w:style w:type="table" w:styleId="LightGrid-Accent6">
    <w:name w:val="Light Grid Accent 6"/>
    <w:basedOn w:val="NormalTable0"/>
    <w:uiPriority w:val="62"/>
    <w:rsid w:val="00CB0664"/>
    <w:pPr>
      <w:spacing w:after="0" w:line="240" w:lineRule="auto"/>
    </w:p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color="F79646"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color="F79646"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4D0"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shd w:val="clear" w:color="auto" w:fill="FDE4D0"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color="F79646" w:themeColor="accent6" w:sz="8" w:space="0"/>
        </w:tcBorders>
      </w:tcPr>
    </w:tblStylePr>
  </w:style>
  <w:style w:type="table" w:styleId="MediumShading1">
    <w:name w:val="Medium Shading 1"/>
    <w:basedOn w:val="NormalTable0"/>
    <w:uiPriority w:val="63"/>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NormalTable0"/>
    <w:uiPriority w:val="63"/>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NormalTable0"/>
    <w:uiPriority w:val="63"/>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NormalTable0"/>
    <w:uiPriority w:val="63"/>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tblBorders>
    </w:tblPr>
    <w:tblStylePr w:type="firstRow">
      <w:pPr>
        <w:spacing w:before="0" w:after="0" w:line="240" w:lineRule="auto"/>
      </w:pPr>
      <w:rPr>
        <w:b/>
        <w:bCs/>
        <w:color w:val="FFFFFF" w:themeColor="background1"/>
      </w:rPr>
      <w:tblPr/>
      <w:tcPr>
        <w:tc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3CC82" w:themeColor="accent3" w:themeTint="BF" w:sz="6" w:space="0"/>
          <w:left w:val="single" w:color="B3CC82" w:themeColor="accent3" w:themeTint="BF" w:sz="8" w:space="0"/>
          <w:bottom w:val="single" w:color="B3CC82" w:themeColor="accent3" w:themeTint="BF" w:sz="8" w:space="0"/>
          <w:right w:val="single" w:color="B3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NormalTable0"/>
    <w:uiPriority w:val="63"/>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NormalTable0"/>
    <w:uiPriority w:val="63"/>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NormalTable0"/>
    <w:uiPriority w:val="63"/>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NormalTable0"/>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NormalTable0"/>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NormalTable0"/>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NormalTable0"/>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NormalTable0"/>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NormalTable0"/>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NormalTable0"/>
    <w:uiPriority w:val="64"/>
    <w:rsid w:val="00CB0664"/>
    <w:pPr>
      <w:spacing w:after="0"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List1">
    <w:name w:val="Medium List 1"/>
    <w:basedOn w:val="NormalTable0"/>
    <w:uiPriority w:val="65"/>
    <w:rsid w:val="00CB0664"/>
    <w:pPr>
      <w:spacing w:after="0"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NormalTable0"/>
    <w:uiPriority w:val="65"/>
    <w:rsid w:val="00CB0664"/>
    <w:pPr>
      <w:spacing w:after="0" w:line="240" w:lineRule="auto"/>
    </w:pPr>
    <w:rPr>
      <w:color w:val="000000" w:themeColor="text1"/>
    </w:rPr>
    <w:tblPr>
      <w:tblStyleRowBandSize w:val="1"/>
      <w:tblStyleColBandSize w:val="1"/>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NormalTable0"/>
    <w:uiPriority w:val="65"/>
    <w:rsid w:val="00CB0664"/>
    <w:pPr>
      <w:spacing w:after="0" w:line="240" w:lineRule="auto"/>
    </w:pPr>
    <w:rPr>
      <w:color w:val="000000" w:themeColor="text1"/>
    </w:rPr>
    <w:tblPr>
      <w:tblStyleRowBandSize w:val="1"/>
      <w:tblStyleColBandSize w:val="1"/>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NormalTable0"/>
    <w:uiPriority w:val="65"/>
    <w:rsid w:val="00CB0664"/>
    <w:pPr>
      <w:spacing w:after="0" w:line="240" w:lineRule="auto"/>
    </w:pPr>
    <w:rPr>
      <w:color w:val="000000" w:themeColor="text1"/>
    </w:rPr>
    <w:tblPr>
      <w:tblStyleRowBandSize w:val="1"/>
      <w:tblStyleColBandSize w:val="1"/>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NormalTable0"/>
    <w:uiPriority w:val="65"/>
    <w:rsid w:val="00CB0664"/>
    <w:pPr>
      <w:spacing w:after="0" w:line="240" w:lineRule="auto"/>
    </w:pPr>
    <w:rPr>
      <w:color w:val="000000" w:themeColor="text1"/>
    </w:rPr>
    <w:tblPr>
      <w:tblStyleRowBandSize w:val="1"/>
      <w:tblStyleColBandSize w:val="1"/>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NormalTable0"/>
    <w:uiPriority w:val="65"/>
    <w:rsid w:val="00CB0664"/>
    <w:pPr>
      <w:spacing w:after="0" w:line="240" w:lineRule="auto"/>
    </w:pPr>
    <w:rPr>
      <w:color w:val="000000" w:themeColor="text1"/>
    </w:rPr>
    <w:tblPr>
      <w:tblStyleRowBandSize w:val="1"/>
      <w:tblStyleColBandSize w:val="1"/>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NormalTable0"/>
    <w:uiPriority w:val="65"/>
    <w:rsid w:val="00CB0664"/>
    <w:pPr>
      <w:spacing w:after="0" w:line="240" w:lineRule="auto"/>
    </w:pPr>
    <w:rPr>
      <w:color w:val="000000" w:themeColor="text1"/>
    </w:rPr>
    <w:tblPr>
      <w:tblStyleRowBandSize w:val="1"/>
      <w:tblStyleColBandSize w:val="1"/>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NormalTable0"/>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NormalTable0"/>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NormalTable0"/>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NormalTable0"/>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NormalTable0"/>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NormalTable0"/>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NormalTable0"/>
    <w:uiPriority w:val="66"/>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NormalTable0"/>
    <w:uiPriority w:val="67"/>
    <w:rsid w:val="00CB0664"/>
    <w:pPr>
      <w:spacing w:after="0"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NormalTable0"/>
    <w:uiPriority w:val="67"/>
    <w:rsid w:val="00CB0664"/>
    <w:pPr>
      <w:spacing w:after="0" w:line="240" w:lineRule="auto"/>
    </w:pPr>
    <w:tblPr>
      <w:tblStyleRowBandSize w:val="1"/>
      <w:tblStyleColBandSize w:val="1"/>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NormalTable0"/>
    <w:uiPriority w:val="67"/>
    <w:rsid w:val="00CB0664"/>
    <w:pPr>
      <w:spacing w:after="0" w:line="240" w:lineRule="auto"/>
    </w:pPr>
    <w:tblPr>
      <w:tblStyleRowBandSize w:val="1"/>
      <w:tblStyleColBandSize w:val="1"/>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2"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NormalTable0"/>
    <w:uiPriority w:val="67"/>
    <w:rsid w:val="00CB0664"/>
    <w:pPr>
      <w:spacing w:after="0" w:line="240" w:lineRule="auto"/>
    </w:pPr>
    <w:tblPr>
      <w:tblStyleRowBandSize w:val="1"/>
      <w:tblStyleColBandSize w:val="1"/>
      <w:tblBorders>
        <w:top w:val="single" w:color="B3CC82" w:themeColor="accent3" w:themeTint="BF" w:sz="8" w:space="0"/>
        <w:left w:val="single" w:color="B3CC82" w:themeColor="accent3" w:themeTint="BF" w:sz="8" w:space="0"/>
        <w:bottom w:val="single" w:color="B3CC82" w:themeColor="accent3" w:themeTint="BF" w:sz="8" w:space="0"/>
        <w:right w:val="single" w:color="B3CC82" w:themeColor="accent3" w:themeTint="BF" w:sz="8" w:space="0"/>
        <w:insideH w:val="single" w:color="B3CC82" w:themeColor="accent3" w:themeTint="BF" w:sz="8" w:space="0"/>
        <w:insideV w:val="single" w:color="B3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3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NormalTable0"/>
    <w:uiPriority w:val="67"/>
    <w:rsid w:val="00CB0664"/>
    <w:pPr>
      <w:spacing w:after="0" w:line="240" w:lineRule="auto"/>
    </w:pPr>
    <w:tblPr>
      <w:tblStyleRowBandSize w:val="1"/>
      <w:tblStyleColBandSize w:val="1"/>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NormalTable0"/>
    <w:uiPriority w:val="67"/>
    <w:rsid w:val="00CB0664"/>
    <w:pPr>
      <w:spacing w:after="0" w:line="240" w:lineRule="auto"/>
    </w:pPr>
    <w:tblPr>
      <w:tblStyleRowBandSize w:val="1"/>
      <w:tblStyleColBandSize w:val="1"/>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1"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NormalTable0"/>
    <w:uiPriority w:val="67"/>
    <w:rsid w:val="00CB0664"/>
    <w:pPr>
      <w:spacing w:after="0" w:line="240" w:lineRule="auto"/>
    </w:pPr>
    <w:tblPr>
      <w:tblStyleRowBandSize w:val="1"/>
      <w:tblStyleColBandSize w:val="1"/>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4D0"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NormalTable0"/>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NormalTable0"/>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color="4F81BD" w:themeColor="accent1" w:sz="6" w:space="0"/>
          <w:insideV w:val="single" w:color="4F81BD" w:themeColor="accent1" w:sz="6" w:space="0"/>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NormalTable0"/>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color="C0504D" w:themeColor="accent2" w:sz="6" w:space="0"/>
          <w:insideV w:val="single" w:color="C0504D" w:themeColor="accent2" w:sz="6" w:space="0"/>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NormalTable0"/>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color="9BBB59" w:themeColor="accent3" w:sz="6" w:space="0"/>
          <w:insideV w:val="single" w:color="9BBB59" w:themeColor="accent3" w:sz="6" w:space="0"/>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NormalTable0"/>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color="8064A2" w:themeColor="accent4" w:sz="6" w:space="0"/>
          <w:insideV w:val="single" w:color="8064A2" w:themeColor="accent4" w:sz="6" w:space="0"/>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NormalTable0"/>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color="4BACC6" w:themeColor="accent5" w:sz="6" w:space="0"/>
          <w:insideV w:val="single" w:color="4BACC6" w:themeColor="accent5" w:sz="6" w:space="0"/>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NormalTable0"/>
    <w:uiPriority w:val="68"/>
    <w:rsid w:val="00CB0664"/>
    <w:pPr>
      <w:spacing w:after="0" w:line="240" w:lineRule="auto"/>
    </w:pPr>
    <w:rPr>
      <w:rFonts w:asciiTheme="majorHAnsi" w:hAnsiTheme="majorHAnsi" w:eastAsiaTheme="majorEastAsia" w:cstheme="majorBidi"/>
      <w:color w:val="000000" w:themeColor="text1"/>
    </w:rPr>
    <w:tblPr>
      <w:tblStyleRowBandSize w:val="1"/>
      <w:tblStyleColBandSize w:val="1"/>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color="F79646" w:themeColor="accent6" w:sz="6" w:space="0"/>
          <w:insideV w:val="single" w:color="F79646" w:themeColor="accent6" w:sz="6" w:space="0"/>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NormalTable0"/>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NormalTable0"/>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F81BD"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F81BD"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BF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7BFDE" w:themeFill="accent1" w:themeFillTint="7F"/>
      </w:tcPr>
    </w:tblStylePr>
  </w:style>
  <w:style w:type="table" w:styleId="MediumGrid3-Accent2">
    <w:name w:val="Medium Grid 3 Accent 2"/>
    <w:basedOn w:val="NormalTable0"/>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2"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0504D"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0504D"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FA7A6" w:themeFill="accent2" w:themeFillTint="7F"/>
      </w:tcPr>
    </w:tblStylePr>
  </w:style>
  <w:style w:type="table" w:styleId="MediumGrid3-Accent3">
    <w:name w:val="Medium Grid 3 Accent 3"/>
    <w:basedOn w:val="NormalTable0"/>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9BBB59"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9BBB59"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CDDDAC" w:themeFill="accent3" w:themeFillTint="7F"/>
      </w:tcPr>
    </w:tblStylePr>
  </w:style>
  <w:style w:type="table" w:styleId="MediumGrid3-Accent4">
    <w:name w:val="Medium Grid 3 Accent 4"/>
    <w:basedOn w:val="NormalTable0"/>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8064A2"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8064A2"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FB1D0" w:themeFill="accent4" w:themeFillTint="7F"/>
      </w:tcPr>
    </w:tblStylePr>
  </w:style>
  <w:style w:type="table" w:styleId="MediumGrid3-Accent5">
    <w:name w:val="Medium Grid 3 Accent 5"/>
    <w:basedOn w:val="NormalTable0"/>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1"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BACC6"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BACC6"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5D5E2" w:themeFill="accent5" w:themeFillTint="7F"/>
      </w:tcPr>
    </w:tblStylePr>
  </w:style>
  <w:style w:type="table" w:styleId="MediumGrid3-Accent6">
    <w:name w:val="Medium Grid 3 Accent 6"/>
    <w:basedOn w:val="NormalTable0"/>
    <w:uiPriority w:val="69"/>
    <w:rsid w:val="00CB0664"/>
    <w:pPr>
      <w:spacing w:after="0"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4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79646"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79646"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BCAA2" w:themeFill="accent6" w:themeFillTint="7F"/>
      </w:tcPr>
    </w:tblStylePr>
  </w:style>
  <w:style w:type="table" w:styleId="DarkList">
    <w:name w:val="Dark List"/>
    <w:basedOn w:val="NormalTable0"/>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NormalTable0"/>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5F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NormalTable0"/>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6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NormalTable0"/>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NormalTable0"/>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NormalTable0"/>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NormalTable0"/>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A"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NormalTable0"/>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NormalTable0"/>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color="2C4C74" w:themeColor="accent1" w:themeShade="99" w:sz="4" w:space="0"/>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NormalTable0"/>
    <w:uiPriority w:val="71"/>
    <w:rsid w:val="00CB0664"/>
    <w:pPr>
      <w:spacing w:after="0" w:line="240" w:lineRule="auto"/>
    </w:pPr>
    <w:rPr>
      <w:color w:val="000000" w:themeColor="text1"/>
    </w:rPr>
    <w:tblPr>
      <w:tblStyleRowBandSize w:val="1"/>
      <w:tblStyleColBandSize w:val="1"/>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color="772C2A" w:themeColor="accent2" w:themeShade="99" w:sz="4" w:space="0"/>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NormalTable0"/>
    <w:uiPriority w:val="71"/>
    <w:rsid w:val="00CB0664"/>
    <w:pPr>
      <w:spacing w:after="0" w:line="240" w:lineRule="auto"/>
    </w:pPr>
    <w:rPr>
      <w:color w:val="000000" w:themeColor="text1"/>
    </w:rPr>
    <w:tblPr>
      <w:tblStyleRowBandSize w:val="1"/>
      <w:tblStyleColBandSize w:val="1"/>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color="5E7530" w:themeColor="accent3" w:themeShade="99" w:sz="4" w:space="0"/>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NormalTable0"/>
    <w:uiPriority w:val="71"/>
    <w:rsid w:val="00CB0664"/>
    <w:pPr>
      <w:spacing w:after="0" w:line="240" w:lineRule="auto"/>
    </w:pPr>
    <w:rPr>
      <w:color w:val="000000" w:themeColor="text1"/>
    </w:rPr>
    <w:tblPr>
      <w:tblStyleRowBandSize w:val="1"/>
      <w:tblStyleColBandSize w:val="1"/>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6"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color="4C3B62" w:themeColor="accent4" w:themeShade="99" w:sz="4" w:space="0"/>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NormalTable0"/>
    <w:uiPriority w:val="71"/>
    <w:rsid w:val="00CB0664"/>
    <w:pPr>
      <w:spacing w:after="0" w:line="240" w:lineRule="auto"/>
    </w:pPr>
    <w:rPr>
      <w:color w:val="000000" w:themeColor="text1"/>
    </w:rPr>
    <w:tblPr>
      <w:tblStyleRowBandSize w:val="1"/>
      <w:tblStyleColBandSize w:val="1"/>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color="276A7C" w:themeColor="accent5" w:themeShade="99" w:sz="4" w:space="0"/>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NormalTable0"/>
    <w:uiPriority w:val="71"/>
    <w:rsid w:val="00CB0664"/>
    <w:pPr>
      <w:spacing w:after="0" w:line="240" w:lineRule="auto"/>
    </w:pPr>
    <w:rPr>
      <w:color w:val="000000" w:themeColor="text1"/>
    </w:rPr>
    <w:tblPr>
      <w:tblStyleRowBandSize w:val="1"/>
      <w:tblStyleColBandSize w:val="1"/>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color="B65608" w:themeColor="accent6" w:themeShade="99" w:sz="4" w:space="0"/>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NormalTable0"/>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NormalTable0"/>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NormalTable0"/>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color="FFFFFF" w:themeColor="background1" w:sz="12" w:space="0"/>
        </w:tcBorders>
        <w:shd w:val="clear" w:color="auto" w:fill="9E3A38" w:themeFill="accent2" w:themeFillShade="CC"/>
      </w:tcPr>
    </w:tblStylePr>
    <w:tblStylePr w:type="lastRow">
      <w:rPr>
        <w:b/>
        <w:bCs/>
        <w:color w:val="9E3A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NormalTable0"/>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color="FFFFFF" w:themeColor="background1" w:sz="12" w:space="0"/>
        </w:tcBorders>
        <w:shd w:val="clear" w:color="auto" w:fill="664E82" w:themeFill="accent4" w:themeFillShade="CC"/>
      </w:tcPr>
    </w:tblStylePr>
    <w:tblStylePr w:type="lastRow">
      <w:rPr>
        <w:b/>
        <w:bCs/>
        <w:color w:val="664E82"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NormalTable0"/>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color="FFFFFF" w:themeColor="background1" w:sz="12" w:space="0"/>
        </w:tcBorders>
        <w:shd w:val="clear" w:color="auto" w:fill="7E9C40" w:themeFill="accent3" w:themeFillShade="CC"/>
      </w:tcPr>
    </w:tblStylePr>
    <w:tblStylePr w:type="lastRow">
      <w:rPr>
        <w:b/>
        <w:bCs/>
        <w:color w:val="7E9C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NormalTable0"/>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color="FFFFFF" w:themeColor="background1" w:sz="12" w:space="0"/>
        </w:tcBorders>
        <w:shd w:val="clear" w:color="auto" w:fill="F2730A" w:themeFill="accent6" w:themeFillShade="CC"/>
      </w:tcPr>
    </w:tblStylePr>
    <w:tblStylePr w:type="lastRow">
      <w:rPr>
        <w:b/>
        <w:bCs/>
        <w:color w:val="F2730A"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NormalTable0"/>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color="FFFFFF" w:themeColor="background1" w:sz="12" w:space="0"/>
        </w:tcBorders>
        <w:shd w:val="clear" w:color="auto" w:fill="348DA5" w:themeFill="accent5" w:themeFillShade="CC"/>
      </w:tcPr>
    </w:tblStylePr>
    <w:tblStylePr w:type="lastRow">
      <w:rPr>
        <w:b/>
        <w:bCs/>
        <w:color w:val="348DA5"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NormalTable0"/>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NormalTable0"/>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NormalTable0"/>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NormalTable0"/>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NormalTable0"/>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NormalTable0"/>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NormalTable0"/>
    <w:uiPriority w:val="73"/>
    <w:rsid w:val="00CB0664"/>
    <w:pPr>
      <w:spacing w:after="0" w:line="240" w:lineRule="auto"/>
    </w:pPr>
    <w:rPr>
      <w:color w:val="000000" w:themeColor="text1"/>
    </w:rPr>
    <w:tblPr>
      <w:tblStyleRowBandSize w:val="1"/>
      <w:tblStyleColBandSize w:val="1"/>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455036"/>
    <w:rPr>
      <w:sz w:val="16"/>
      <w:szCs w:val="16"/>
    </w:rPr>
  </w:style>
  <w:style w:type="paragraph" w:styleId="CommentText">
    <w:name w:val="annotation text"/>
    <w:link w:val="CommentTextChar"/>
    <w:uiPriority w:val="99"/>
    <w:semiHidden/>
    <w:unhideWhenUsed/>
    <w:rsid w:val="00455036"/>
    <w:pPr>
      <w:spacing w:line="240" w:lineRule="auto"/>
    </w:pPr>
  </w:style>
  <w:style w:type="character" w:styleId="CommentTextChar" w:customStyle="1">
    <w:name w:val="Comment Text Char"/>
    <w:basedOn w:val="DefaultParagraphFont"/>
    <w:link w:val="CommentText"/>
    <w:uiPriority w:val="99"/>
    <w:semiHidden/>
    <w:rsid w:val="00455036"/>
    <w:rPr>
      <w:rFonts w:ascii="Arial" w:hAnsi="Arial" w:eastAsia="Arial"/>
      <w:sz w:val="20"/>
      <w:szCs w:val="20"/>
      <w:lang w:val="pl-PL"/>
    </w:rPr>
  </w:style>
  <w:style w:type="paragraph" w:styleId="CommentSubject">
    <w:name w:val="annotation subject"/>
    <w:basedOn w:val="CommentText"/>
    <w:next w:val="CommentText"/>
    <w:link w:val="CommentSubjectChar"/>
    <w:uiPriority w:val="99"/>
    <w:semiHidden/>
    <w:unhideWhenUsed/>
    <w:rsid w:val="00455036"/>
    <w:rPr>
      <w:b/>
      <w:bCs/>
    </w:rPr>
  </w:style>
  <w:style w:type="character" w:styleId="CommentSubjectChar" w:customStyle="1">
    <w:name w:val="Comment Subject Char"/>
    <w:basedOn w:val="CommentTextChar"/>
    <w:link w:val="CommentSubject"/>
    <w:uiPriority w:val="99"/>
    <w:semiHidden/>
    <w:rsid w:val="00455036"/>
    <w:rPr>
      <w:rFonts w:ascii="Arial" w:hAnsi="Arial" w:eastAsia="Arial"/>
      <w:b/>
      <w:bCs/>
      <w:sz w:val="20"/>
      <w:szCs w:val="20"/>
      <w:lang w:val="pl-PL"/>
    </w:rPr>
  </w:style>
  <w:style w:type="paragraph" w:styleId="BalloonText">
    <w:name w:val="Balloon Text"/>
    <w:link w:val="BalloonTextChar"/>
    <w:uiPriority w:val="99"/>
    <w:semiHidden/>
    <w:unhideWhenUsed/>
    <w:rsid w:val="00455036"/>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455036"/>
    <w:rPr>
      <w:rFonts w:ascii="Segoe UI" w:hAnsi="Segoe UI" w:eastAsia="Arial" w:cs="Segoe UI"/>
      <w:sz w:val="18"/>
      <w:szCs w:val="18"/>
      <w:lang w:val="pl-PL"/>
    </w:rPr>
  </w:style>
  <w:style w:type="paragraph" w:styleId="Subtitle">
    <w:name w:val="Subtitle"/>
    <w:basedOn w:val="Normal"/>
    <w:next w:val="Normal"/>
    <w:uiPriority w:val="11"/>
    <w:qFormat/>
    <w:rPr>
      <w:rFonts w:ascii="Calibri" w:hAnsi="Calibri" w:eastAsia="Calibri" w:cs="Calibri"/>
      <w:i/>
      <w:iCs/>
      <w:color w:val="4F81BD"/>
      <w:sz w:val="24"/>
      <w:szCs w:val="24"/>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footer" Target="foot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xml" Id="Ree99f0a9e26d4ccb" /><Relationship Type="http://schemas.openxmlformats.org/officeDocument/2006/relationships/hyperlink" Target="mailto:iodo@agh.edu.pl" TargetMode="External" Id="R7648876683b54867"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&#65279;<?xml version="1.0" encoding="utf-8"?><Relationships xmlns="http://schemas.openxmlformats.org/package/2006/relationships"><Relationship Type="http://schemas.openxmlformats.org/officeDocument/2006/relationships/image" Target="/media/imagea.png" Id="rId1644287973" /></Relationships>
</file>

<file path=word/_rels/header.xml.rels>&#65279;<?xml version="1.0" encoding="utf-8"?><Relationships xmlns="http://schemas.openxmlformats.org/package/2006/relationships"><Relationship Type="http://schemas.openxmlformats.org/officeDocument/2006/relationships/image" Target="/media/image7.png" Id="rId2087149888" /><Relationship Type="http://schemas.openxmlformats.org/officeDocument/2006/relationships/image" Target="/media/image8.png" Id="rId1821314867" /><Relationship Type="http://schemas.openxmlformats.org/officeDocument/2006/relationships/image" Target="/media/image9.png" Id="rId212863365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2245072C7ADCAB49A74A2F0363A0CC1F" ma:contentTypeVersion="13" ma:contentTypeDescription="Utwórz nowy dokument." ma:contentTypeScope="" ma:versionID="64d16122124a2169fe1427c147ad5e1d">
  <xsd:schema xmlns:xsd="http://www.w3.org/2001/XMLSchema" xmlns:xs="http://www.w3.org/2001/XMLSchema" xmlns:p="http://schemas.microsoft.com/office/2006/metadata/properties" xmlns:ns2="f5a06aaa-9f19-4bc1-8b03-7d2560c436a6" xmlns:ns3="72225104-8ac3-4eca-9d43-5f151efdee1f" targetNamespace="http://schemas.microsoft.com/office/2006/metadata/properties" ma:root="true" ma:fieldsID="94ad76484a2f0dbd41b5a5e43e6aba13" ns2:_="" ns3:_="">
    <xsd:import namespace="f5a06aaa-9f19-4bc1-8b03-7d2560c436a6"/>
    <xsd:import namespace="72225104-8ac3-4eca-9d43-5f151efdee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a06aaa-9f19-4bc1-8b03-7d2560c43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Tagi obrazów" ma:readOnly="false" ma:fieldId="{5cf76f15-5ced-4ddc-b409-7134ff3c332f}" ma:taxonomyMulti="true" ma:sspId="b7b31e59-74a4-4436-bc03-9931855e0d9a"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225104-8ac3-4eca-9d43-5f151efdee1f"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1c1b70a-1b15-4f36-b79f-f3658686005e}" ma:internalName="TaxCatchAll" ma:showField="CatchAllData" ma:web="72225104-8ac3-4eca-9d43-5f151efdee1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yW9pPOAdaMoFTvzqJ3u+qf5L3w==">CgMxLjAyDWgucXZsajB2ZHlibHY4AHIhMTZKbzFsWU9aeHRtc3l3b1JvVHRSbTc1N2Jwalk0Snk4</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TaxCatchAll xmlns="72225104-8ac3-4eca-9d43-5f151efdee1f" xsi:nil="true"/>
    <lcf76f155ced4ddcb4097134ff3c332f xmlns="f5a06aaa-9f19-4bc1-8b03-7d2560c436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646DA43-D52D-476D-B65F-858F944B4E86}">
  <ds:schemaRefs>
    <ds:schemaRef ds:uri="http://schemas.microsoft.com/sharepoint/v3/contenttype/forms"/>
  </ds:schemaRefs>
</ds:datastoreItem>
</file>

<file path=customXml/itemProps2.xml><?xml version="1.0" encoding="utf-8"?>
<ds:datastoreItem xmlns:ds="http://schemas.openxmlformats.org/officeDocument/2006/customXml" ds:itemID="{338CD534-6EC9-40C1-BFB3-E972EE9C8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a06aaa-9f19-4bc1-8b03-7d2560c436a6"/>
    <ds:schemaRef ds:uri="72225104-8ac3-4eca-9d43-5f151efdee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656AF19F-0A37-4974-BB85-01A65E85F939}">
  <ds:schemaRefs>
    <ds:schemaRef ds:uri="http://schemas.microsoft.com/office/2006/metadata/properties"/>
    <ds:schemaRef ds:uri="http://schemas.microsoft.com/office/infopath/2007/PartnerControls"/>
    <ds:schemaRef ds:uri="72225104-8ac3-4eca-9d43-5f151efdee1f"/>
    <ds:schemaRef ds:uri="f5a06aaa-9f19-4bc1-8b03-7d2560c436a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python-docx</dc:creator>
  <lastModifiedBy>Katarzyna Kasztelewicz</lastModifiedBy>
  <revision>11</revision>
  <dcterms:created xsi:type="dcterms:W3CDTF">2026-09-29T08:11:00.0000000Z</dcterms:created>
  <dcterms:modified xsi:type="dcterms:W3CDTF">2026-10-05T14:14:25.4159385Z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0x0101002245072C7ADCAB49A74A2F0363A0CC1F</vt:lpwstr>
  </property>
  <property fmtid="{D5CDD505-2E9C-101B-9397-08002B2CF9AE}" pid="3" name="MediaServiceImageTags">
    <vt:lpwstr/>
  </property>
</Properties>
</file>